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50" w:rsidRDefault="006C483E" w:rsidP="0045375E">
      <w:pPr>
        <w:jc w:val="center"/>
        <w:rPr>
          <w:b/>
          <w:u w:val="single"/>
        </w:rPr>
      </w:pPr>
      <w:r>
        <w:rPr>
          <w:rFonts w:ascii="Times New Roman" w:hAnsi="Times New Roman"/>
          <w:b/>
          <w:sz w:val="32"/>
          <w:szCs w:val="32"/>
        </w:rPr>
        <w:t xml:space="preserve">             </w:t>
      </w:r>
    </w:p>
    <w:p w:rsidR="00864491" w:rsidRPr="004D5044" w:rsidRDefault="00FD7152" w:rsidP="005E4DEA">
      <w:pPr>
        <w:rPr>
          <w:b/>
        </w:rPr>
        <w:sectPr w:rsidR="00864491" w:rsidRPr="004D5044" w:rsidSect="0012149B">
          <w:headerReference w:type="default" r:id="rId9"/>
          <w:footerReference w:type="default" r:id="rId10"/>
          <w:headerReference w:type="first" r:id="rId11"/>
          <w:footerReference w:type="first" r:id="rId12"/>
          <w:type w:val="continuous"/>
          <w:pgSz w:w="12240" w:h="15840" w:code="1"/>
          <w:pgMar w:top="720" w:right="720" w:bottom="720" w:left="720" w:header="278" w:footer="720" w:gutter="0"/>
          <w:pgBorders w:offsetFrom="page">
            <w:top w:val="single" w:sz="4" w:space="24" w:color="auto"/>
            <w:left w:val="single" w:sz="4" w:space="24" w:color="auto"/>
            <w:bottom w:val="single" w:sz="4" w:space="24" w:color="auto"/>
            <w:right w:val="single" w:sz="4" w:space="24" w:color="auto"/>
          </w:pgBorders>
          <w:cols w:space="6690"/>
          <w:titlePg/>
          <w:docGrid w:linePitch="360"/>
        </w:sectPr>
      </w:pPr>
      <w:r w:rsidRPr="004D5044">
        <w:t>Special Education means specially designed instruction, at no cost to parents, to meet the unique needs of a child with a disability.  To assist you in understanding the special education process in the District of Columbia and your rights as a parent, below is a ste</w:t>
      </w:r>
      <w:r w:rsidR="006D42B5" w:rsidRPr="004D5044">
        <w:t>p-by-step summary of the process.</w:t>
      </w:r>
    </w:p>
    <w:p w:rsidR="00A0398D" w:rsidRDefault="00A0398D" w:rsidP="0010030E">
      <w:pPr>
        <w:rPr>
          <w:rFonts w:asciiTheme="majorHAnsi" w:hAnsiTheme="majorHAnsi"/>
          <w:b/>
          <w:noProof/>
          <w:sz w:val="28"/>
          <w:szCs w:val="28"/>
        </w:rPr>
      </w:pPr>
    </w:p>
    <w:tbl>
      <w:tblPr>
        <w:tblStyle w:val="TableGrid"/>
        <w:tblW w:w="0" w:type="auto"/>
        <w:tblInd w:w="-1062" w:type="dxa"/>
        <w:tblLook w:val="04A0" w:firstRow="1" w:lastRow="0" w:firstColumn="1" w:lastColumn="0" w:noHBand="0" w:noVBand="1"/>
      </w:tblPr>
      <w:tblGrid>
        <w:gridCol w:w="10998"/>
      </w:tblGrid>
      <w:tr w:rsidR="00A0398D" w:rsidTr="00802463">
        <w:trPr>
          <w:trHeight w:val="368"/>
        </w:trPr>
        <w:tc>
          <w:tcPr>
            <w:tcW w:w="10998" w:type="dxa"/>
            <w:shd w:val="clear" w:color="auto" w:fill="C00000"/>
          </w:tcPr>
          <w:p w:rsidR="00A0398D" w:rsidRPr="00DD2B65" w:rsidRDefault="00A0398D" w:rsidP="0010030E">
            <w:pPr>
              <w:rPr>
                <w:b/>
                <w:color w:val="FFFFFF" w:themeColor="background1"/>
                <w:sz w:val="25"/>
                <w:szCs w:val="25"/>
              </w:rPr>
            </w:pPr>
            <w:r w:rsidRPr="00DD2B65">
              <w:rPr>
                <w:b/>
                <w:color w:val="FFFFFF" w:themeColor="background1"/>
                <w:sz w:val="25"/>
                <w:szCs w:val="25"/>
              </w:rPr>
              <w:t>Step 1 – Child Find</w:t>
            </w:r>
          </w:p>
        </w:tc>
      </w:tr>
    </w:tbl>
    <w:p w:rsidR="00A0398D" w:rsidRPr="004D5044" w:rsidRDefault="00A0398D" w:rsidP="00A0398D">
      <w:pPr>
        <w:tabs>
          <w:tab w:val="num" w:pos="-2250"/>
        </w:tabs>
        <w:ind w:left="-720"/>
      </w:pPr>
    </w:p>
    <w:p w:rsidR="00A0398D" w:rsidRPr="004D5044" w:rsidRDefault="007E17F0" w:rsidP="00A0398D">
      <w:pPr>
        <w:numPr>
          <w:ilvl w:val="0"/>
          <w:numId w:val="9"/>
        </w:numPr>
        <w:tabs>
          <w:tab w:val="clear" w:pos="360"/>
          <w:tab w:val="num" w:pos="-2250"/>
        </w:tabs>
        <w:ind w:left="-720"/>
      </w:pPr>
      <w:r>
        <w:t>The public school agency is</w:t>
      </w:r>
      <w:r w:rsidR="00A0398D" w:rsidRPr="004D5044">
        <w:t xml:space="preserve"> required to </w:t>
      </w:r>
      <w:r w:rsidR="00A0398D" w:rsidRPr="001825CD">
        <w:rPr>
          <w:b/>
        </w:rPr>
        <w:t>identify</w:t>
      </w:r>
      <w:r w:rsidR="00A0398D" w:rsidRPr="004D5044">
        <w:t xml:space="preserve">, </w:t>
      </w:r>
      <w:r w:rsidR="00A0398D" w:rsidRPr="001825CD">
        <w:rPr>
          <w:b/>
        </w:rPr>
        <w:t xml:space="preserve">locate </w:t>
      </w:r>
      <w:r w:rsidR="00A0398D" w:rsidRPr="004D5044">
        <w:t xml:space="preserve">and </w:t>
      </w:r>
      <w:r w:rsidR="00A0398D" w:rsidRPr="001825CD">
        <w:rPr>
          <w:b/>
        </w:rPr>
        <w:t>evaluate</w:t>
      </w:r>
      <w:r w:rsidR="00A0398D" w:rsidRPr="004D5044">
        <w:t xml:space="preserve"> children who </w:t>
      </w:r>
      <w:r w:rsidR="0003437D">
        <w:t xml:space="preserve">have a disability or </w:t>
      </w:r>
      <w:r w:rsidR="00A0398D" w:rsidRPr="004D5044">
        <w:t xml:space="preserve">are suspected of </w:t>
      </w:r>
      <w:r w:rsidR="003439E4">
        <w:t xml:space="preserve">having a disability </w:t>
      </w:r>
      <w:r w:rsidR="00A0398D" w:rsidRPr="004D5044">
        <w:t>and</w:t>
      </w:r>
      <w:r w:rsidR="003439E4">
        <w:t xml:space="preserve"> who may be</w:t>
      </w:r>
      <w:r w:rsidR="00A0398D" w:rsidRPr="004D5044">
        <w:t xml:space="preserve"> in need of special education, even if they are passing from grade to grade</w:t>
      </w:r>
      <w:r w:rsidR="0003437D">
        <w:t>, do not attend school</w:t>
      </w:r>
      <w:r w:rsidR="001825CD">
        <w:t>, are homeschooled, or attend private school</w:t>
      </w:r>
      <w:r>
        <w:t>.</w:t>
      </w:r>
    </w:p>
    <w:p w:rsidR="00A0398D" w:rsidRPr="004D5044" w:rsidRDefault="00A0398D" w:rsidP="00A0398D">
      <w:pPr>
        <w:tabs>
          <w:tab w:val="num" w:pos="-2250"/>
        </w:tabs>
        <w:ind w:left="-720"/>
      </w:pPr>
    </w:p>
    <w:p w:rsidR="00A0398D" w:rsidRPr="004D5044" w:rsidRDefault="00A0398D" w:rsidP="00A0398D">
      <w:pPr>
        <w:numPr>
          <w:ilvl w:val="0"/>
          <w:numId w:val="9"/>
        </w:numPr>
        <w:tabs>
          <w:tab w:val="clear" w:pos="360"/>
          <w:tab w:val="num" w:pos="-2250"/>
          <w:tab w:val="num" w:pos="1440"/>
        </w:tabs>
        <w:ind w:left="-720"/>
      </w:pPr>
      <w:r w:rsidRPr="004D5044">
        <w:t>A referral for evaluation of a child who may have a disability may be made by the: (1) The parent(s) or legal guardian(s)</w:t>
      </w:r>
      <w:proofErr w:type="gramStart"/>
      <w:r w:rsidRPr="004D5044">
        <w:t>;</w:t>
      </w:r>
      <w:r w:rsidR="007E17F0">
        <w:t xml:space="preserve"> </w:t>
      </w:r>
      <w:r w:rsidRPr="004D5044">
        <w:t xml:space="preserve"> (</w:t>
      </w:r>
      <w:proofErr w:type="gramEnd"/>
      <w:r w:rsidRPr="004D5044">
        <w:t xml:space="preserve">2) A child (self-referral) who is between the ages of 18 </w:t>
      </w:r>
      <w:r w:rsidR="003439E4">
        <w:t>and 22 years; (3) An</w:t>
      </w:r>
      <w:r w:rsidRPr="004D5044">
        <w:t xml:space="preserve"> employee of the public school agency</w:t>
      </w:r>
      <w:r w:rsidR="003439E4">
        <w:t xml:space="preserve"> or other child-serving agency</w:t>
      </w:r>
      <w:r w:rsidRPr="004D5044">
        <w:t xml:space="preserve">; or (4) A staff member of the public school agency who has knowledge of the child. </w:t>
      </w:r>
    </w:p>
    <w:p w:rsidR="001067C8" w:rsidRPr="00752050" w:rsidRDefault="001067C8" w:rsidP="001067C8">
      <w:pPr>
        <w:tabs>
          <w:tab w:val="num" w:pos="1440"/>
        </w:tabs>
        <w:rPr>
          <w:sz w:val="22"/>
          <w:szCs w:val="22"/>
        </w:rPr>
      </w:pPr>
    </w:p>
    <w:p w:rsidR="00A0398D" w:rsidRDefault="00A0398D" w:rsidP="0010030E"/>
    <w:tbl>
      <w:tblPr>
        <w:tblStyle w:val="TableGrid"/>
        <w:tblW w:w="0" w:type="auto"/>
        <w:tblInd w:w="-1062" w:type="dxa"/>
        <w:tblLook w:val="04A0" w:firstRow="1" w:lastRow="0" w:firstColumn="1" w:lastColumn="0" w:noHBand="0" w:noVBand="1"/>
      </w:tblPr>
      <w:tblGrid>
        <w:gridCol w:w="10998"/>
      </w:tblGrid>
      <w:tr w:rsidR="00A0398D" w:rsidTr="00802463">
        <w:trPr>
          <w:trHeight w:val="350"/>
        </w:trPr>
        <w:tc>
          <w:tcPr>
            <w:tcW w:w="10998" w:type="dxa"/>
            <w:shd w:val="clear" w:color="auto" w:fill="C00000"/>
          </w:tcPr>
          <w:p w:rsidR="00A0398D" w:rsidRPr="00DD2B65" w:rsidRDefault="00A0398D" w:rsidP="0010030E">
            <w:pPr>
              <w:rPr>
                <w:b/>
                <w:color w:val="FFFFFF" w:themeColor="background1"/>
                <w:sz w:val="25"/>
                <w:szCs w:val="25"/>
              </w:rPr>
            </w:pPr>
            <w:r w:rsidRPr="00DD2B65">
              <w:rPr>
                <w:b/>
                <w:color w:val="FFFFFF" w:themeColor="background1"/>
                <w:sz w:val="25"/>
                <w:szCs w:val="25"/>
              </w:rPr>
              <w:t>Step 2 – Formal Request/Consent to Evaluate Child</w:t>
            </w:r>
          </w:p>
        </w:tc>
      </w:tr>
    </w:tbl>
    <w:p w:rsidR="001067C8" w:rsidRDefault="001067C8" w:rsidP="001067C8">
      <w:pPr>
        <w:rPr>
          <w:sz w:val="22"/>
          <w:szCs w:val="22"/>
        </w:rPr>
      </w:pPr>
    </w:p>
    <w:p w:rsidR="00A0398D" w:rsidRPr="004D5044" w:rsidRDefault="00A0398D" w:rsidP="00A0398D">
      <w:pPr>
        <w:numPr>
          <w:ilvl w:val="0"/>
          <w:numId w:val="10"/>
        </w:numPr>
        <w:tabs>
          <w:tab w:val="clear" w:pos="360"/>
          <w:tab w:val="num" w:pos="-2430"/>
        </w:tabs>
        <w:ind w:left="-720"/>
      </w:pPr>
      <w:r w:rsidRPr="004D5044">
        <w:t>A Parent must give his or her written consent before a child can be evaluated.</w:t>
      </w:r>
    </w:p>
    <w:p w:rsidR="00A0398D" w:rsidRPr="004D5044" w:rsidRDefault="00A0398D" w:rsidP="007E17F0"/>
    <w:p w:rsidR="00A0398D" w:rsidRPr="004D5044" w:rsidRDefault="00A0398D" w:rsidP="00A0398D">
      <w:pPr>
        <w:numPr>
          <w:ilvl w:val="0"/>
          <w:numId w:val="10"/>
        </w:numPr>
        <w:tabs>
          <w:tab w:val="clear" w:pos="360"/>
        </w:tabs>
        <w:ind w:left="-720"/>
      </w:pPr>
      <w:r w:rsidRPr="004D5044">
        <w:t>The attending or neighborhood school must provide the parent with the necessary form(s) to complete when the parent requests an evaluation.</w:t>
      </w:r>
    </w:p>
    <w:p w:rsidR="00A0398D" w:rsidRPr="004D5044" w:rsidRDefault="00A0398D" w:rsidP="00A0398D">
      <w:pPr>
        <w:ind w:left="-720"/>
      </w:pPr>
    </w:p>
    <w:p w:rsidR="001067C8" w:rsidRDefault="00A0398D" w:rsidP="001067C8">
      <w:pPr>
        <w:numPr>
          <w:ilvl w:val="0"/>
          <w:numId w:val="10"/>
        </w:numPr>
        <w:tabs>
          <w:tab w:val="clear" w:pos="360"/>
        </w:tabs>
        <w:ind w:left="-720"/>
      </w:pPr>
      <w:r w:rsidRPr="004D5044">
        <w:t xml:space="preserve">Once the parent submits the written request and consent for evaluation, </w:t>
      </w:r>
      <w:r w:rsidR="00897933">
        <w:t>the public school agency has 60</w:t>
      </w:r>
      <w:r w:rsidRPr="004D5044">
        <w:t xml:space="preserve"> days from that date to evaluate the child.</w:t>
      </w:r>
    </w:p>
    <w:p w:rsidR="00074BF2" w:rsidRPr="00074BF2" w:rsidRDefault="00074BF2" w:rsidP="00074BF2"/>
    <w:p w:rsidR="00A0398D" w:rsidRDefault="00A0398D" w:rsidP="00A0398D">
      <w:pPr>
        <w:pStyle w:val="ListParagraph"/>
        <w:rPr>
          <w:sz w:val="22"/>
          <w:szCs w:val="22"/>
        </w:rPr>
      </w:pPr>
    </w:p>
    <w:tbl>
      <w:tblPr>
        <w:tblStyle w:val="TableGrid"/>
        <w:tblW w:w="0" w:type="auto"/>
        <w:tblInd w:w="-1062" w:type="dxa"/>
        <w:tblLook w:val="04A0" w:firstRow="1" w:lastRow="0" w:firstColumn="1" w:lastColumn="0" w:noHBand="0" w:noVBand="1"/>
      </w:tblPr>
      <w:tblGrid>
        <w:gridCol w:w="10980"/>
      </w:tblGrid>
      <w:tr w:rsidR="00A0398D" w:rsidTr="00802463">
        <w:trPr>
          <w:trHeight w:val="377"/>
        </w:trPr>
        <w:tc>
          <w:tcPr>
            <w:tcW w:w="10980" w:type="dxa"/>
            <w:shd w:val="clear" w:color="auto" w:fill="C00000"/>
          </w:tcPr>
          <w:p w:rsidR="00A0398D" w:rsidRPr="00DD2B65" w:rsidRDefault="00A0398D" w:rsidP="00A0398D">
            <w:pPr>
              <w:rPr>
                <w:b/>
                <w:color w:val="FFFFFF" w:themeColor="background1"/>
                <w:sz w:val="25"/>
                <w:szCs w:val="25"/>
              </w:rPr>
            </w:pPr>
            <w:r w:rsidRPr="00DD2B65">
              <w:rPr>
                <w:b/>
                <w:color w:val="FFFFFF" w:themeColor="background1"/>
                <w:sz w:val="25"/>
                <w:szCs w:val="25"/>
              </w:rPr>
              <w:t>Step 3 – Initial Evaluation</w:t>
            </w:r>
          </w:p>
        </w:tc>
      </w:tr>
    </w:tbl>
    <w:p w:rsidR="001067C8" w:rsidRDefault="001067C8" w:rsidP="001067C8">
      <w:pPr>
        <w:ind w:left="-720"/>
        <w:rPr>
          <w:sz w:val="22"/>
          <w:szCs w:val="22"/>
        </w:rPr>
      </w:pPr>
    </w:p>
    <w:p w:rsidR="002617C6" w:rsidRPr="004D5044" w:rsidRDefault="002617C6" w:rsidP="002617C6">
      <w:pPr>
        <w:numPr>
          <w:ilvl w:val="0"/>
          <w:numId w:val="11"/>
        </w:numPr>
        <w:tabs>
          <w:tab w:val="clear" w:pos="720"/>
          <w:tab w:val="num" w:pos="1080"/>
        </w:tabs>
        <w:ind w:left="-720"/>
      </w:pPr>
      <w:r w:rsidRPr="004D5044">
        <w:t>Following the formal request and consent for evaluation the multidisciplinary team (MDT) must meet to review existing data and information on the child and identify what evaluations or assessments are needed.</w:t>
      </w:r>
    </w:p>
    <w:p w:rsidR="002617C6" w:rsidRPr="004D5044" w:rsidRDefault="002617C6" w:rsidP="002617C6">
      <w:pPr>
        <w:ind w:left="360"/>
      </w:pPr>
    </w:p>
    <w:p w:rsidR="002617C6" w:rsidRDefault="002617C6" w:rsidP="00074BF2">
      <w:pPr>
        <w:numPr>
          <w:ilvl w:val="0"/>
          <w:numId w:val="11"/>
        </w:numPr>
        <w:tabs>
          <w:tab w:val="clear" w:pos="720"/>
          <w:tab w:val="num" w:pos="1080"/>
        </w:tabs>
        <w:ind w:left="-720"/>
      </w:pPr>
      <w:r w:rsidRPr="004D5044">
        <w:rPr>
          <w:u w:val="single"/>
        </w:rPr>
        <w:t>Members of the MDT Team Include</w:t>
      </w:r>
      <w:r w:rsidRPr="004D5044">
        <w:t xml:space="preserve"> - the child’s parents or legal guardian; at least one regular education teacher of the child; at least one special education</w:t>
      </w:r>
      <w:r w:rsidR="0043210E">
        <w:t xml:space="preserve"> (</w:t>
      </w:r>
      <w:r w:rsidR="0043210E" w:rsidRPr="004D5044">
        <w:t>teacher of the child</w:t>
      </w:r>
      <w:r w:rsidR="0043210E">
        <w:t>)</w:t>
      </w:r>
      <w:r w:rsidRPr="004D5044">
        <w:t>; a representative of the public school agency (can be the special education coordinator, etc.); professionals who can interpret the evaluations to be conducted on the child (for example, a psychologist, a speech pathologist, etc.); and the child if appropriate.</w:t>
      </w:r>
    </w:p>
    <w:p w:rsidR="001825CD" w:rsidRPr="004D5044" w:rsidRDefault="001825CD" w:rsidP="001825CD"/>
    <w:p w:rsidR="003A0B81" w:rsidRDefault="002617C6" w:rsidP="00C61708">
      <w:pPr>
        <w:numPr>
          <w:ilvl w:val="0"/>
          <w:numId w:val="11"/>
        </w:numPr>
        <w:tabs>
          <w:tab w:val="clear" w:pos="720"/>
          <w:tab w:val="num" w:pos="1080"/>
        </w:tabs>
        <w:ind w:left="-720"/>
      </w:pPr>
      <w:r w:rsidRPr="004D5044">
        <w:t xml:space="preserve">The public school agency must not use just a single procedure </w:t>
      </w:r>
      <w:r w:rsidR="003439E4">
        <w:t xml:space="preserve">or measure </w:t>
      </w:r>
      <w:r w:rsidRPr="004D5044">
        <w:t xml:space="preserve">as the sole basis for determining whether a child is a child with a disability and </w:t>
      </w:r>
      <w:r w:rsidR="001825CD">
        <w:t xml:space="preserve">determining </w:t>
      </w:r>
      <w:r w:rsidRPr="004D5044">
        <w:t xml:space="preserve">the educational needs of the child.  It must ensure that a full and individual evaluation is conducted for each child being considered for special education and related services and must evaluate the child in all areas </w:t>
      </w:r>
      <w:r w:rsidR="003439E4">
        <w:t>of</w:t>
      </w:r>
      <w:r w:rsidRPr="004D5044">
        <w:t xml:space="preserve"> suspected disability</w:t>
      </w:r>
      <w:r w:rsidR="003439E4">
        <w:t xml:space="preserve"> or</w:t>
      </w:r>
      <w:r w:rsidR="001825CD">
        <w:t xml:space="preserve"> parent’s areas of</w:t>
      </w:r>
      <w:r w:rsidR="003439E4">
        <w:t xml:space="preserve"> concern</w:t>
      </w:r>
      <w:r w:rsidR="003A0B81">
        <w:t>.</w:t>
      </w:r>
    </w:p>
    <w:p w:rsidR="002617C6" w:rsidRPr="004D5044" w:rsidRDefault="002617C6" w:rsidP="003A0B81"/>
    <w:p w:rsidR="002617C6" w:rsidRPr="004D5044" w:rsidRDefault="002617C6" w:rsidP="002617C6">
      <w:pPr>
        <w:ind w:left="-720"/>
      </w:pPr>
      <w:r w:rsidRPr="004D5044">
        <w:lastRenderedPageBreak/>
        <w:t xml:space="preserve">There are several types of evaluations that may need to </w:t>
      </w:r>
      <w:r w:rsidR="003439E4">
        <w:t>be completed</w:t>
      </w:r>
      <w:r w:rsidRPr="004D5044">
        <w:t>, including:</w:t>
      </w:r>
    </w:p>
    <w:p w:rsidR="002617C6" w:rsidRPr="004D5044" w:rsidRDefault="002617C6" w:rsidP="002617C6">
      <w:pPr>
        <w:ind w:left="-720"/>
      </w:pPr>
      <w:proofErr w:type="gramStart"/>
      <w:r w:rsidRPr="004D5044">
        <w:t>Psychoeducational (</w:t>
      </w:r>
      <w:r w:rsidR="003439E4">
        <w:t>cognitive</w:t>
      </w:r>
      <w:r w:rsidRPr="004D5044">
        <w:t xml:space="preserve"> and academic performance) •</w:t>
      </w:r>
      <w:r w:rsidR="001825CD">
        <w:t xml:space="preserve"> </w:t>
      </w:r>
      <w:r w:rsidRPr="004D5044">
        <w:t>Clinical Psychological (social and emotional status) •Occupational/Physical Therapy (motor abilities) •Medical (physical, vision, hearing, psychiatric, neurological) •Speech/Language (communication) •</w:t>
      </w:r>
      <w:r w:rsidR="001825CD">
        <w:t xml:space="preserve"> </w:t>
      </w:r>
      <w:r w:rsidRPr="004D5044">
        <w:t>Vocational (occupational interest, skills, etc.)</w:t>
      </w:r>
      <w:r w:rsidR="001825CD">
        <w:t>.</w:t>
      </w:r>
      <w:proofErr w:type="gramEnd"/>
      <w:r w:rsidR="001825CD">
        <w:t xml:space="preserve">  Other evaluations might also be needed.</w:t>
      </w:r>
    </w:p>
    <w:p w:rsidR="002617C6" w:rsidRPr="004D5044" w:rsidRDefault="002617C6" w:rsidP="002617C6">
      <w:pPr>
        <w:ind w:left="-720"/>
      </w:pPr>
    </w:p>
    <w:p w:rsidR="002617C6" w:rsidRDefault="002617C6" w:rsidP="002617C6">
      <w:pPr>
        <w:numPr>
          <w:ilvl w:val="0"/>
          <w:numId w:val="11"/>
        </w:numPr>
        <w:tabs>
          <w:tab w:val="clear" w:pos="720"/>
          <w:tab w:val="num" w:pos="1080"/>
        </w:tabs>
        <w:ind w:left="-720"/>
      </w:pPr>
      <w:r w:rsidRPr="004D5044">
        <w:t>Each evaluator must draft a written report describing the results of the test and recommendations.  Parents must get a copy of the evaluations no less than 5 business days before the MDT meeting to review.</w:t>
      </w:r>
    </w:p>
    <w:p w:rsidR="0043210E" w:rsidRDefault="0043210E" w:rsidP="0043210E">
      <w:pPr>
        <w:ind w:left="-720"/>
      </w:pPr>
    </w:p>
    <w:p w:rsidR="0043210E" w:rsidRPr="004D5044" w:rsidRDefault="0043210E" w:rsidP="002617C6">
      <w:pPr>
        <w:numPr>
          <w:ilvl w:val="0"/>
          <w:numId w:val="11"/>
        </w:numPr>
        <w:tabs>
          <w:tab w:val="clear" w:pos="720"/>
          <w:tab w:val="num" w:pos="1080"/>
        </w:tabs>
        <w:ind w:left="-720"/>
      </w:pPr>
      <w:r>
        <w:t>Parents may request an Independent Educational Evaluation (IEE</w:t>
      </w:r>
      <w:proofErr w:type="gramStart"/>
      <w:r>
        <w:t>)  at</w:t>
      </w:r>
      <w:proofErr w:type="gramEnd"/>
      <w:r>
        <w:t xml:space="preserve"> public expense if they disagree with the evaluation.  </w:t>
      </w:r>
    </w:p>
    <w:p w:rsidR="00725F19" w:rsidRDefault="00725F19" w:rsidP="00A0398D">
      <w:pPr>
        <w:ind w:left="-720"/>
        <w:rPr>
          <w:sz w:val="22"/>
          <w:szCs w:val="22"/>
        </w:rPr>
      </w:pPr>
    </w:p>
    <w:p w:rsidR="00074BF2" w:rsidRDefault="00074BF2" w:rsidP="00A0398D">
      <w:pPr>
        <w:ind w:left="-720"/>
        <w:rPr>
          <w:sz w:val="22"/>
          <w:szCs w:val="22"/>
        </w:rPr>
      </w:pPr>
    </w:p>
    <w:tbl>
      <w:tblPr>
        <w:tblStyle w:val="TableGrid"/>
        <w:tblW w:w="0" w:type="auto"/>
        <w:tblInd w:w="-1062" w:type="dxa"/>
        <w:tblLook w:val="04A0" w:firstRow="1" w:lastRow="0" w:firstColumn="1" w:lastColumn="0" w:noHBand="0" w:noVBand="1"/>
      </w:tblPr>
      <w:tblGrid>
        <w:gridCol w:w="10998"/>
      </w:tblGrid>
      <w:tr w:rsidR="00A0398D" w:rsidTr="00802463">
        <w:trPr>
          <w:trHeight w:val="395"/>
        </w:trPr>
        <w:tc>
          <w:tcPr>
            <w:tcW w:w="10998" w:type="dxa"/>
            <w:shd w:val="clear" w:color="auto" w:fill="C00000"/>
          </w:tcPr>
          <w:p w:rsidR="00A0398D" w:rsidRPr="00DD2B65" w:rsidRDefault="00556CA5" w:rsidP="0010030E">
            <w:pPr>
              <w:rPr>
                <w:b/>
                <w:color w:val="FFFFFF" w:themeColor="background1"/>
                <w:sz w:val="25"/>
                <w:szCs w:val="25"/>
              </w:rPr>
            </w:pPr>
            <w:r w:rsidRPr="00DD2B65">
              <w:rPr>
                <w:b/>
                <w:color w:val="FFFFFF" w:themeColor="background1"/>
                <w:sz w:val="25"/>
                <w:szCs w:val="25"/>
              </w:rPr>
              <w:t>Step 4 – Eligibility for Special Education</w:t>
            </w:r>
          </w:p>
        </w:tc>
      </w:tr>
    </w:tbl>
    <w:p w:rsidR="00556CA5" w:rsidRDefault="00556CA5" w:rsidP="00556CA5">
      <w:pPr>
        <w:ind w:left="-720"/>
        <w:rPr>
          <w:sz w:val="22"/>
          <w:szCs w:val="22"/>
        </w:rPr>
      </w:pPr>
    </w:p>
    <w:p w:rsidR="0043210E" w:rsidRDefault="00556CA5" w:rsidP="00556CA5">
      <w:pPr>
        <w:numPr>
          <w:ilvl w:val="0"/>
          <w:numId w:val="12"/>
        </w:numPr>
        <w:tabs>
          <w:tab w:val="clear" w:pos="720"/>
          <w:tab w:val="num" w:pos="1080"/>
        </w:tabs>
        <w:ind w:left="-720"/>
      </w:pPr>
      <w:r w:rsidRPr="004D5044">
        <w:t>To be eligible for special education and related services, a child must be between ages three (3) and twenty-two (2</w:t>
      </w:r>
      <w:r w:rsidR="003A0B81">
        <w:t>2</w:t>
      </w:r>
      <w:r w:rsidRPr="004D5044">
        <w:t>) and have a disability that adversely affects his or her ability to learn or make progress in school</w:t>
      </w:r>
      <w:r w:rsidR="005A76F4">
        <w:t xml:space="preserve"> without specialized instruction</w:t>
      </w:r>
      <w:r w:rsidRPr="004D5044">
        <w:t>.</w:t>
      </w:r>
      <w:r w:rsidR="00AA3884">
        <w:t xml:space="preserve"> </w:t>
      </w:r>
    </w:p>
    <w:p w:rsidR="0043210E" w:rsidRDefault="0043210E" w:rsidP="0043210E">
      <w:pPr>
        <w:ind w:left="-720"/>
      </w:pPr>
    </w:p>
    <w:p w:rsidR="00556CA5" w:rsidRPr="004D5044" w:rsidRDefault="00AA3884" w:rsidP="00556CA5">
      <w:pPr>
        <w:numPr>
          <w:ilvl w:val="0"/>
          <w:numId w:val="12"/>
        </w:numPr>
        <w:tabs>
          <w:tab w:val="clear" w:pos="720"/>
          <w:tab w:val="num" w:pos="1080"/>
        </w:tabs>
        <w:ind w:left="-720"/>
      </w:pPr>
      <w:r>
        <w:t>Children under the age of 3 who have a 25% delay in just one developmental area may be eligible for early intervention services</w:t>
      </w:r>
      <w:r w:rsidR="00A8568F">
        <w:t>.</w:t>
      </w:r>
      <w:r>
        <w:t xml:space="preserve"> </w:t>
      </w:r>
    </w:p>
    <w:p w:rsidR="00556CA5" w:rsidRPr="004D5044" w:rsidRDefault="00556CA5" w:rsidP="00556CA5">
      <w:pPr>
        <w:ind w:left="-720"/>
      </w:pPr>
    </w:p>
    <w:p w:rsidR="00556CA5" w:rsidRPr="004D5044" w:rsidRDefault="00556CA5" w:rsidP="00556CA5">
      <w:pPr>
        <w:numPr>
          <w:ilvl w:val="0"/>
          <w:numId w:val="12"/>
        </w:numPr>
        <w:tabs>
          <w:tab w:val="clear" w:pos="720"/>
          <w:tab w:val="num" w:pos="1080"/>
        </w:tabs>
        <w:ind w:left="-720"/>
      </w:pPr>
      <w:r w:rsidRPr="004D5044">
        <w:rPr>
          <w:u w:val="single"/>
        </w:rPr>
        <w:t>Disability Classifications</w:t>
      </w:r>
      <w:r w:rsidRPr="004D5044">
        <w:t xml:space="preserve">: •Autism </w:t>
      </w:r>
      <w:r w:rsidR="0043210E">
        <w:t xml:space="preserve"> </w:t>
      </w:r>
      <w:r w:rsidRPr="004D5044">
        <w:t>•</w:t>
      </w:r>
      <w:r w:rsidR="00C61708">
        <w:t xml:space="preserve"> </w:t>
      </w:r>
      <w:r w:rsidRPr="004D5044">
        <w:t>Deaf-Blindness •</w:t>
      </w:r>
      <w:r w:rsidR="00C61708">
        <w:t xml:space="preserve"> </w:t>
      </w:r>
      <w:r w:rsidRPr="004D5044">
        <w:t>Deafness</w:t>
      </w:r>
      <w:r w:rsidR="0043210E">
        <w:t>/</w:t>
      </w:r>
      <w:r w:rsidR="0043210E" w:rsidRPr="0043210E">
        <w:t xml:space="preserve"> </w:t>
      </w:r>
      <w:r w:rsidR="0043210E">
        <w:t>Hearing Impairment</w:t>
      </w:r>
      <w:r w:rsidRPr="004D5044">
        <w:t xml:space="preserve"> </w:t>
      </w:r>
      <w:r w:rsidR="00C61708">
        <w:t xml:space="preserve"> </w:t>
      </w:r>
      <w:r w:rsidRPr="004D5044">
        <w:t>•</w:t>
      </w:r>
      <w:r w:rsidR="00C61708">
        <w:t xml:space="preserve"> </w:t>
      </w:r>
      <w:r w:rsidRPr="004D5044">
        <w:t>Developmental D</w:t>
      </w:r>
      <w:r w:rsidR="0043210E">
        <w:t>elay</w:t>
      </w:r>
      <w:r w:rsidR="00C61708">
        <w:t xml:space="preserve"> </w:t>
      </w:r>
      <w:r w:rsidR="0043210E">
        <w:t xml:space="preserve"> •</w:t>
      </w:r>
      <w:r w:rsidR="00C61708">
        <w:t xml:space="preserve"> </w:t>
      </w:r>
      <w:r w:rsidR="0043210E">
        <w:t>Emotional Disturbance</w:t>
      </w:r>
      <w:r w:rsidR="00C61708">
        <w:t xml:space="preserve"> </w:t>
      </w:r>
      <w:r w:rsidR="0043210E">
        <w:t xml:space="preserve"> • Intellectual Disabilities </w:t>
      </w:r>
      <w:r w:rsidRPr="004D5044">
        <w:t xml:space="preserve"> •</w:t>
      </w:r>
      <w:r w:rsidR="00C61708">
        <w:t xml:space="preserve"> </w:t>
      </w:r>
      <w:r w:rsidRPr="004D5044">
        <w:t>Multiple Disabili</w:t>
      </w:r>
      <w:r w:rsidR="0043210E">
        <w:t xml:space="preserve">ties </w:t>
      </w:r>
      <w:r w:rsidR="00C61708">
        <w:t xml:space="preserve"> </w:t>
      </w:r>
      <w:r w:rsidR="0043210E">
        <w:t xml:space="preserve">•Orthopedic Impairment  </w:t>
      </w:r>
      <w:r w:rsidR="00C61708">
        <w:t xml:space="preserve"> </w:t>
      </w:r>
      <w:r w:rsidR="0043210E">
        <w:t>•</w:t>
      </w:r>
      <w:r w:rsidR="00C61708">
        <w:t xml:space="preserve"> </w:t>
      </w:r>
      <w:r w:rsidR="0043210E">
        <w:t>Visual Impairment  •</w:t>
      </w:r>
      <w:r w:rsidR="00C61708">
        <w:t xml:space="preserve"> </w:t>
      </w:r>
      <w:r w:rsidR="0043210E">
        <w:t xml:space="preserve">Traumatic Brain Injury </w:t>
      </w:r>
      <w:r w:rsidRPr="004D5044">
        <w:t xml:space="preserve"> •</w:t>
      </w:r>
      <w:r w:rsidR="00C61708">
        <w:t xml:space="preserve"> </w:t>
      </w:r>
      <w:r w:rsidRPr="004D5044">
        <w:t>Other Health Impairment (such as ADHD</w:t>
      </w:r>
      <w:r w:rsidR="005A76F4">
        <w:t>, asthma or sickle cell</w:t>
      </w:r>
      <w:r w:rsidR="0043210E">
        <w:t>)</w:t>
      </w:r>
      <w:r w:rsidRPr="004D5044">
        <w:t xml:space="preserve"> •</w:t>
      </w:r>
      <w:r w:rsidR="00C61708">
        <w:t xml:space="preserve"> </w:t>
      </w:r>
      <w:r w:rsidRPr="004D5044">
        <w:t>Sp</w:t>
      </w:r>
      <w:r w:rsidR="0043210E">
        <w:t>ecific Learning Disability</w:t>
      </w:r>
      <w:r w:rsidR="003A0B81">
        <w:t xml:space="preserve"> (</w:t>
      </w:r>
      <w:r w:rsidR="005A76F4">
        <w:t xml:space="preserve"> includes dyslexia and processing deficits</w:t>
      </w:r>
      <w:r w:rsidR="003A0B81">
        <w:t>)</w:t>
      </w:r>
      <w:r w:rsidRPr="004D5044">
        <w:t xml:space="preserve"> </w:t>
      </w:r>
      <w:r w:rsidR="00C61708">
        <w:t xml:space="preserve"> </w:t>
      </w:r>
      <w:r w:rsidRPr="004D5044">
        <w:t>•</w:t>
      </w:r>
      <w:r w:rsidR="00C61708">
        <w:t xml:space="preserve"> </w:t>
      </w:r>
      <w:r w:rsidR="0043210E">
        <w:t>Speech or Language Impairment</w:t>
      </w:r>
      <w:r w:rsidRPr="004D5044">
        <w:t>.</w:t>
      </w:r>
    </w:p>
    <w:p w:rsidR="00556CA5" w:rsidRPr="004D5044" w:rsidRDefault="00556CA5" w:rsidP="00556CA5">
      <w:pPr>
        <w:ind w:left="-720"/>
      </w:pPr>
    </w:p>
    <w:p w:rsidR="00556CA5" w:rsidRPr="004D5044" w:rsidRDefault="00556CA5" w:rsidP="00556CA5">
      <w:pPr>
        <w:numPr>
          <w:ilvl w:val="0"/>
          <w:numId w:val="12"/>
        </w:numPr>
        <w:tabs>
          <w:tab w:val="clear" w:pos="720"/>
          <w:tab w:val="num" w:pos="1080"/>
        </w:tabs>
        <w:ind w:left="-720"/>
      </w:pPr>
      <w:r w:rsidRPr="004D5044">
        <w:t>The MDT must determine eligibility and disability classification.  Note - parents are</w:t>
      </w:r>
      <w:r w:rsidR="00C61708">
        <w:t xml:space="preserve"> full and equal</w:t>
      </w:r>
      <w:r w:rsidRPr="004D5044">
        <w:t xml:space="preserve"> members of the team and must have a meaningful opportunity to participate in the eligibility determination process.</w:t>
      </w:r>
    </w:p>
    <w:p w:rsidR="00556CA5" w:rsidRPr="004D5044" w:rsidRDefault="00556CA5" w:rsidP="00556CA5">
      <w:pPr>
        <w:ind w:left="-720"/>
      </w:pPr>
    </w:p>
    <w:p w:rsidR="00556CA5" w:rsidRPr="004D5044" w:rsidRDefault="00556CA5" w:rsidP="00556CA5">
      <w:pPr>
        <w:numPr>
          <w:ilvl w:val="0"/>
          <w:numId w:val="12"/>
        </w:numPr>
        <w:tabs>
          <w:tab w:val="clear" w:pos="720"/>
          <w:tab w:val="num" w:pos="1080"/>
        </w:tabs>
        <w:ind w:left="-720"/>
      </w:pPr>
      <w:r w:rsidRPr="004D5044">
        <w:t>In determining eligibility, the MDT must draw upon information from a variety of sources, including aptitude and achievement tests, parent input, teacher recommendations, physical condition, social or cultural background, and adaptive behavior.</w:t>
      </w:r>
    </w:p>
    <w:p w:rsidR="00556CA5" w:rsidRPr="004D5044" w:rsidRDefault="00556CA5" w:rsidP="00556CA5">
      <w:pPr>
        <w:ind w:left="-720"/>
      </w:pPr>
    </w:p>
    <w:p w:rsidR="00556CA5" w:rsidRPr="004D5044" w:rsidRDefault="00556CA5" w:rsidP="00556CA5">
      <w:pPr>
        <w:numPr>
          <w:ilvl w:val="0"/>
          <w:numId w:val="12"/>
        </w:numPr>
        <w:tabs>
          <w:tab w:val="clear" w:pos="720"/>
          <w:tab w:val="num" w:pos="1080"/>
        </w:tabs>
        <w:ind w:left="-720"/>
      </w:pPr>
      <w:r w:rsidRPr="004D5044">
        <w:t xml:space="preserve">Parents have a right to challenge eligibility, classifications of disability, and/or evaluations. </w:t>
      </w:r>
    </w:p>
    <w:p w:rsidR="00556CA5" w:rsidRPr="004D5044" w:rsidRDefault="00556CA5" w:rsidP="00556CA5">
      <w:pPr>
        <w:pStyle w:val="ListParagraph"/>
        <w:ind w:left="-720"/>
      </w:pPr>
    </w:p>
    <w:p w:rsidR="00556CA5" w:rsidRDefault="00556CA5" w:rsidP="00556CA5">
      <w:pPr>
        <w:numPr>
          <w:ilvl w:val="0"/>
          <w:numId w:val="12"/>
        </w:numPr>
        <w:tabs>
          <w:tab w:val="clear" w:pos="720"/>
          <w:tab w:val="num" w:pos="1080"/>
        </w:tabs>
        <w:ind w:left="-720"/>
      </w:pPr>
      <w:r w:rsidRPr="004D5044">
        <w:t>If it is determined that a child has a disability and needs special education and related services, an Individualized Education Program (IEP) must be developed for the child.</w:t>
      </w:r>
    </w:p>
    <w:p w:rsidR="00C61708" w:rsidRDefault="00C61708" w:rsidP="00C61708">
      <w:pPr>
        <w:pStyle w:val="ListParagraph"/>
      </w:pPr>
    </w:p>
    <w:p w:rsidR="00C61708" w:rsidRPr="004D5044" w:rsidRDefault="00C61708" w:rsidP="00556CA5">
      <w:pPr>
        <w:numPr>
          <w:ilvl w:val="0"/>
          <w:numId w:val="12"/>
        </w:numPr>
        <w:tabs>
          <w:tab w:val="clear" w:pos="720"/>
          <w:tab w:val="num" w:pos="1080"/>
        </w:tabs>
        <w:ind w:left="-720"/>
      </w:pPr>
      <w:r>
        <w:t>Parents must consent to the implementation of the IEP before the student can receive specialized instruction and/or related services.</w:t>
      </w:r>
    </w:p>
    <w:p w:rsidR="00F45493" w:rsidRDefault="00F45493" w:rsidP="0010030E">
      <w:pPr>
        <w:rPr>
          <w:b/>
        </w:rPr>
      </w:pPr>
    </w:p>
    <w:p w:rsidR="00074BF2" w:rsidRDefault="00074BF2" w:rsidP="0010030E">
      <w:pPr>
        <w:rPr>
          <w:b/>
        </w:rPr>
      </w:pPr>
    </w:p>
    <w:tbl>
      <w:tblPr>
        <w:tblStyle w:val="TableGrid"/>
        <w:tblW w:w="0" w:type="auto"/>
        <w:tblInd w:w="-1062" w:type="dxa"/>
        <w:tblLook w:val="04A0" w:firstRow="1" w:lastRow="0" w:firstColumn="1" w:lastColumn="0" w:noHBand="0" w:noVBand="1"/>
      </w:tblPr>
      <w:tblGrid>
        <w:gridCol w:w="10998"/>
      </w:tblGrid>
      <w:tr w:rsidR="00556CA5" w:rsidTr="00802463">
        <w:trPr>
          <w:trHeight w:val="413"/>
        </w:trPr>
        <w:tc>
          <w:tcPr>
            <w:tcW w:w="10998" w:type="dxa"/>
            <w:shd w:val="clear" w:color="auto" w:fill="C00000"/>
          </w:tcPr>
          <w:p w:rsidR="00556CA5" w:rsidRPr="00DD2B65" w:rsidRDefault="00C277D9" w:rsidP="0010030E">
            <w:pPr>
              <w:rPr>
                <w:b/>
                <w:color w:val="FFFFFF" w:themeColor="background1"/>
                <w:sz w:val="25"/>
                <w:szCs w:val="25"/>
              </w:rPr>
            </w:pPr>
            <w:r w:rsidRPr="00DD2B65">
              <w:rPr>
                <w:b/>
                <w:color w:val="FFFFFF" w:themeColor="background1"/>
                <w:sz w:val="25"/>
                <w:szCs w:val="25"/>
              </w:rPr>
              <w:t>Step 5 – Individualized Education Program (IEP)</w:t>
            </w:r>
          </w:p>
        </w:tc>
      </w:tr>
    </w:tbl>
    <w:p w:rsidR="001067C8" w:rsidRDefault="001067C8" w:rsidP="001067C8">
      <w:pPr>
        <w:ind w:left="-720"/>
        <w:rPr>
          <w:sz w:val="22"/>
          <w:szCs w:val="22"/>
        </w:rPr>
      </w:pPr>
    </w:p>
    <w:p w:rsidR="00C61708" w:rsidRDefault="00C277D9" w:rsidP="00C61708">
      <w:pPr>
        <w:numPr>
          <w:ilvl w:val="0"/>
          <w:numId w:val="13"/>
        </w:numPr>
        <w:tabs>
          <w:tab w:val="clear" w:pos="720"/>
          <w:tab w:val="num" w:pos="1080"/>
        </w:tabs>
        <w:ind w:left="-720"/>
      </w:pPr>
      <w:r w:rsidRPr="004D5044">
        <w:t>Within 30-days of determining that a child is eligible for special education and related services, the IEP team must meet to develop an IEP for the child.</w:t>
      </w:r>
      <w:r w:rsidR="00C61708" w:rsidRPr="00C61708">
        <w:t xml:space="preserve"> </w:t>
      </w:r>
    </w:p>
    <w:p w:rsidR="00C61708" w:rsidRDefault="00C61708" w:rsidP="00C61708">
      <w:pPr>
        <w:ind w:left="-720"/>
      </w:pPr>
    </w:p>
    <w:p w:rsidR="00C61708" w:rsidRPr="004D5044" w:rsidRDefault="00C61708" w:rsidP="00C61708">
      <w:pPr>
        <w:numPr>
          <w:ilvl w:val="0"/>
          <w:numId w:val="13"/>
        </w:numPr>
        <w:tabs>
          <w:tab w:val="clear" w:pos="720"/>
          <w:tab w:val="num" w:pos="1080"/>
        </w:tabs>
        <w:ind w:left="-720"/>
      </w:pPr>
      <w:r w:rsidRPr="004D5044">
        <w:t>The IEP is a written document that outlines objectives, measurable goals, specialized instruction and related services for a child’s unique needs.</w:t>
      </w:r>
    </w:p>
    <w:p w:rsidR="00C61708" w:rsidRDefault="00C61708" w:rsidP="00C61708">
      <w:pPr>
        <w:ind w:left="-720"/>
      </w:pPr>
    </w:p>
    <w:p w:rsidR="00C277D9" w:rsidRPr="004D5044" w:rsidRDefault="00C277D9" w:rsidP="00C61708">
      <w:pPr>
        <w:numPr>
          <w:ilvl w:val="0"/>
          <w:numId w:val="13"/>
        </w:numPr>
        <w:tabs>
          <w:tab w:val="clear" w:pos="720"/>
          <w:tab w:val="num" w:pos="1080"/>
        </w:tabs>
        <w:ind w:left="-720"/>
      </w:pPr>
      <w:r w:rsidRPr="004D5044">
        <w:t xml:space="preserve">Schools are required to provide parents with copies of all documents to be discussed at an IEP meeting no less than 5 business days </w:t>
      </w:r>
      <w:r w:rsidRPr="00C61708">
        <w:rPr>
          <w:b/>
          <w:u w:val="single"/>
        </w:rPr>
        <w:t>befor</w:t>
      </w:r>
      <w:r w:rsidRPr="00C61708">
        <w:rPr>
          <w:u w:val="single"/>
        </w:rPr>
        <w:t>e</w:t>
      </w:r>
      <w:r w:rsidRPr="004D5044">
        <w:t xml:space="preserve"> the meeting.</w:t>
      </w:r>
      <w:r w:rsidR="00487861">
        <w:t xml:space="preserve"> If an IEP meeting is scheduled fewer than 5 business days before it is to occur, these documents must be provided to the parents at least 24 hours before the meeting.</w:t>
      </w:r>
    </w:p>
    <w:p w:rsidR="00C277D9" w:rsidRPr="004D5044" w:rsidRDefault="00C277D9" w:rsidP="00C61708"/>
    <w:p w:rsidR="00C277D9" w:rsidRPr="004D5044" w:rsidRDefault="00C277D9" w:rsidP="00C277D9">
      <w:pPr>
        <w:numPr>
          <w:ilvl w:val="0"/>
          <w:numId w:val="13"/>
        </w:numPr>
        <w:tabs>
          <w:tab w:val="clear" w:pos="720"/>
          <w:tab w:val="num" w:pos="1080"/>
        </w:tabs>
        <w:ind w:left="-720"/>
      </w:pPr>
      <w:r w:rsidRPr="004D5044">
        <w:rPr>
          <w:u w:val="single"/>
        </w:rPr>
        <w:t>Members of the IEP Team Include</w:t>
      </w:r>
      <w:r w:rsidRPr="004D5044">
        <w:t xml:space="preserve"> – the child’s parents or legal guardian; at least one regular education teacher of the child; at least one special education teacher of the child; a representative of the public school agency (can be the special education coordinator, etc.); </w:t>
      </w:r>
      <w:r w:rsidR="005A76F4">
        <w:t xml:space="preserve">related service provider of the child, </w:t>
      </w:r>
      <w:r w:rsidRPr="004D5044">
        <w:t>professionals who can interpret the evaluations conducted on the child (for example, a psychologist, a speech pathologist, etc.); and the child if appropriate.</w:t>
      </w:r>
    </w:p>
    <w:p w:rsidR="00C277D9" w:rsidRPr="004D5044" w:rsidRDefault="00C277D9" w:rsidP="00C277D9">
      <w:pPr>
        <w:ind w:left="-720"/>
      </w:pPr>
    </w:p>
    <w:p w:rsidR="00C277D9" w:rsidRPr="004D5044" w:rsidRDefault="00C277D9" w:rsidP="00C277D9">
      <w:pPr>
        <w:numPr>
          <w:ilvl w:val="0"/>
          <w:numId w:val="13"/>
        </w:numPr>
        <w:tabs>
          <w:tab w:val="clear" w:pos="720"/>
        </w:tabs>
        <w:ind w:left="-720"/>
      </w:pPr>
      <w:r w:rsidRPr="004D5044">
        <w:t>The public school agency must notify the parent in writing of the time, place, purpose of and who will attend the IEP meeting.  Parents must have an opportunity to attend, so the public school agency must schedule meetings at a mutually agreed upon time and place and provide parents with advance notice of any IEP meetings.</w:t>
      </w:r>
      <w:r w:rsidR="005A76F4">
        <w:t xml:space="preserve">  Parents can request reasonable accommodations related to their own disabilities</w:t>
      </w:r>
      <w:r w:rsidR="001825CD">
        <w:t xml:space="preserve"> and needs</w:t>
      </w:r>
      <w:r w:rsidR="005A76F4">
        <w:t xml:space="preserve">, alternative means of participating (telephone or video conference) and translation into their native </w:t>
      </w:r>
      <w:r w:rsidR="00C61708">
        <w:t>language</w:t>
      </w:r>
      <w:r w:rsidR="005A76F4">
        <w:t xml:space="preserve">. </w:t>
      </w:r>
    </w:p>
    <w:p w:rsidR="00C277D9" w:rsidRPr="004D5044" w:rsidRDefault="00C277D9" w:rsidP="00C277D9">
      <w:pPr>
        <w:ind w:left="-720"/>
      </w:pPr>
    </w:p>
    <w:p w:rsidR="00C277D9" w:rsidRPr="004D5044" w:rsidRDefault="00C277D9" w:rsidP="00C277D9">
      <w:pPr>
        <w:numPr>
          <w:ilvl w:val="0"/>
          <w:numId w:val="13"/>
        </w:numPr>
        <w:tabs>
          <w:tab w:val="clear" w:pos="720"/>
        </w:tabs>
        <w:ind w:left="-720"/>
      </w:pPr>
      <w:r w:rsidRPr="004D5044">
        <w:t>In developing the child’s IEP, the IEP team must consider: the child’s strengths; concerns of the parent; results of the initial or most recent evaluation; and as appropriate, the results of the child’s performance on any District-wide assessment programs.</w:t>
      </w:r>
    </w:p>
    <w:p w:rsidR="00C277D9" w:rsidRPr="004D5044" w:rsidRDefault="00C277D9" w:rsidP="00C277D9">
      <w:pPr>
        <w:pStyle w:val="ListParagraph"/>
        <w:ind w:left="-720"/>
      </w:pPr>
    </w:p>
    <w:p w:rsidR="00C277D9" w:rsidRPr="004D5044" w:rsidRDefault="00C277D9" w:rsidP="00C277D9">
      <w:pPr>
        <w:numPr>
          <w:ilvl w:val="0"/>
          <w:numId w:val="13"/>
        </w:numPr>
        <w:tabs>
          <w:tab w:val="clear" w:pos="720"/>
        </w:tabs>
        <w:ind w:left="-720"/>
      </w:pPr>
      <w:r w:rsidRPr="004D5044">
        <w:t>The IEP must contain: •</w:t>
      </w:r>
      <w:r w:rsidR="00C61708">
        <w:t xml:space="preserve"> </w:t>
      </w:r>
      <w:r w:rsidRPr="004D5044">
        <w:t xml:space="preserve">The child’s present levels of educational performance •Measurable annual goals, including academic and </w:t>
      </w:r>
      <w:r w:rsidR="005A76F4">
        <w:t>no</w:t>
      </w:r>
      <w:r w:rsidR="007E17F0">
        <w:t>n</w:t>
      </w:r>
      <w:r w:rsidR="005A76F4">
        <w:t>academic</w:t>
      </w:r>
      <w:r w:rsidR="005A76F4" w:rsidRPr="004D5044">
        <w:t xml:space="preserve"> </w:t>
      </w:r>
      <w:r w:rsidRPr="004D5044">
        <w:t>goals (</w:t>
      </w:r>
      <w:r w:rsidR="005A76F4">
        <w:t xml:space="preserve">can </w:t>
      </w:r>
      <w:r w:rsidRPr="004D5044">
        <w:t xml:space="preserve">include short-term objectives) •The special education and related services and supplementary aids and services to be provided •An explanation </w:t>
      </w:r>
      <w:r w:rsidR="005A76F4">
        <w:t xml:space="preserve">and justification </w:t>
      </w:r>
      <w:r w:rsidRPr="004D5044">
        <w:t>of the extent the child will not participate with nondisabled children in the regular class</w:t>
      </w:r>
      <w:r w:rsidR="005A76F4">
        <w:t xml:space="preserve"> </w:t>
      </w:r>
      <w:r w:rsidRPr="004D5044">
        <w:t xml:space="preserve"> •Individual modifications in the administration of state or district-wide student achievement tests •The projected date for the beginning of the services and modifications, frequency, location and duration of services and modifications •How the child’s progress toward the annual goals will be measured •How the child’s parents will be regularly informed about the child’s progress •</w:t>
      </w:r>
      <w:r w:rsidR="00C61708">
        <w:t xml:space="preserve"> </w:t>
      </w:r>
      <w:r w:rsidR="00187F70">
        <w:t>Once a student reaches</w:t>
      </w:r>
      <w:r w:rsidR="008F3D93">
        <w:t xml:space="preserve"> the age of</w:t>
      </w:r>
      <w:r w:rsidR="00187F70">
        <w:t xml:space="preserve"> 14</w:t>
      </w:r>
      <w:r w:rsidRPr="004D5044">
        <w:t>, a statement of transition service needs.</w:t>
      </w:r>
    </w:p>
    <w:p w:rsidR="00556CA5" w:rsidRPr="004D5044" w:rsidRDefault="00556CA5" w:rsidP="00C277D9">
      <w:pPr>
        <w:ind w:left="-720"/>
        <w:rPr>
          <w:b/>
        </w:rPr>
      </w:pPr>
    </w:p>
    <w:p w:rsidR="00C277D9" w:rsidRPr="004D5044" w:rsidRDefault="00C277D9" w:rsidP="00C277D9">
      <w:pPr>
        <w:numPr>
          <w:ilvl w:val="0"/>
          <w:numId w:val="13"/>
        </w:numPr>
        <w:tabs>
          <w:tab w:val="clear" w:pos="720"/>
        </w:tabs>
        <w:ind w:left="-720"/>
      </w:pPr>
      <w:r w:rsidRPr="004D5044">
        <w:t>Parents must have input into the development of the IEP and have a right to bring an advocate or anyone else to the IEP meeting. If there is a disagreement about the IEP, the team should complete as much of the IEP as possible to ensure the child gets some services while the dispute gets resolved.  Parents must consent to the initial IEP for services to be provided.</w:t>
      </w:r>
    </w:p>
    <w:p w:rsidR="00C277D9" w:rsidRPr="004D5044" w:rsidRDefault="00C277D9" w:rsidP="00C277D9">
      <w:pPr>
        <w:ind w:left="-720"/>
      </w:pPr>
    </w:p>
    <w:p w:rsidR="005A58C6" w:rsidRPr="0043210E" w:rsidRDefault="00C277D9" w:rsidP="005A58C6">
      <w:pPr>
        <w:numPr>
          <w:ilvl w:val="0"/>
          <w:numId w:val="13"/>
        </w:numPr>
        <w:tabs>
          <w:tab w:val="clear" w:pos="720"/>
        </w:tabs>
        <w:ind w:left="-720"/>
        <w:rPr>
          <w:b/>
          <w:sz w:val="26"/>
          <w:szCs w:val="26"/>
        </w:rPr>
      </w:pPr>
      <w:r w:rsidRPr="004D5044">
        <w:t xml:space="preserve">Schools are required to provide parents with a copy of the completed IEP within 5 business days after the meeting occurs and to provide parents with a final copy of the IEP within 15 days. </w:t>
      </w:r>
      <w:r>
        <w:rPr>
          <w:sz w:val="22"/>
          <w:szCs w:val="22"/>
        </w:rPr>
        <w:t xml:space="preserve"> </w:t>
      </w:r>
    </w:p>
    <w:p w:rsidR="00074BF2" w:rsidRPr="00C708D4" w:rsidRDefault="00074BF2" w:rsidP="005A58C6">
      <w:pPr>
        <w:rPr>
          <w:b/>
          <w:sz w:val="26"/>
          <w:szCs w:val="26"/>
        </w:rPr>
      </w:pPr>
    </w:p>
    <w:tbl>
      <w:tblPr>
        <w:tblStyle w:val="TableGrid"/>
        <w:tblW w:w="0" w:type="auto"/>
        <w:tblInd w:w="-1062" w:type="dxa"/>
        <w:tblLook w:val="04A0" w:firstRow="1" w:lastRow="0" w:firstColumn="1" w:lastColumn="0" w:noHBand="0" w:noVBand="1"/>
      </w:tblPr>
      <w:tblGrid>
        <w:gridCol w:w="10998"/>
      </w:tblGrid>
      <w:tr w:rsidR="005A58C6" w:rsidTr="00802463">
        <w:trPr>
          <w:trHeight w:val="368"/>
        </w:trPr>
        <w:tc>
          <w:tcPr>
            <w:tcW w:w="10998" w:type="dxa"/>
            <w:shd w:val="clear" w:color="auto" w:fill="C00000"/>
          </w:tcPr>
          <w:p w:rsidR="005A58C6" w:rsidRPr="00DD2B65" w:rsidRDefault="005A58C6" w:rsidP="0010030E">
            <w:pPr>
              <w:rPr>
                <w:b/>
                <w:color w:val="FFFFFF" w:themeColor="background1"/>
                <w:sz w:val="25"/>
                <w:szCs w:val="25"/>
              </w:rPr>
            </w:pPr>
            <w:r w:rsidRPr="00DD2B65">
              <w:rPr>
                <w:b/>
                <w:color w:val="FFFFFF" w:themeColor="background1"/>
                <w:sz w:val="25"/>
                <w:szCs w:val="25"/>
              </w:rPr>
              <w:t xml:space="preserve">Step 6 </w:t>
            </w:r>
            <w:r w:rsidR="005A76F4">
              <w:rPr>
                <w:b/>
                <w:color w:val="FFFFFF" w:themeColor="background1"/>
                <w:sz w:val="25"/>
                <w:szCs w:val="25"/>
              </w:rPr>
              <w:t>–</w:t>
            </w:r>
            <w:r w:rsidRPr="00DD2B65">
              <w:rPr>
                <w:b/>
                <w:color w:val="FFFFFF" w:themeColor="background1"/>
                <w:sz w:val="25"/>
                <w:szCs w:val="25"/>
              </w:rPr>
              <w:t xml:space="preserve"> Placement</w:t>
            </w:r>
          </w:p>
        </w:tc>
      </w:tr>
    </w:tbl>
    <w:p w:rsidR="001067C8" w:rsidRDefault="001067C8" w:rsidP="001067C8">
      <w:pPr>
        <w:pStyle w:val="ListParagraph"/>
        <w:ind w:left="-720"/>
        <w:rPr>
          <w:sz w:val="22"/>
          <w:szCs w:val="22"/>
        </w:rPr>
      </w:pPr>
    </w:p>
    <w:p w:rsidR="005A58C6" w:rsidRPr="004D5044" w:rsidRDefault="005A58C6" w:rsidP="005A58C6">
      <w:pPr>
        <w:pStyle w:val="ListParagraph"/>
        <w:numPr>
          <w:ilvl w:val="0"/>
          <w:numId w:val="21"/>
        </w:numPr>
        <w:ind w:left="-720"/>
      </w:pPr>
      <w:r w:rsidRPr="004D5044">
        <w:t>Once the IEP Team determines the special education and related services the child needs, the IEP Team must determine the educational placement of the child.</w:t>
      </w:r>
    </w:p>
    <w:p w:rsidR="005A58C6" w:rsidRPr="004D5044" w:rsidRDefault="005A58C6" w:rsidP="005A58C6">
      <w:pPr>
        <w:pStyle w:val="ListParagraph"/>
        <w:ind w:left="-720"/>
      </w:pPr>
    </w:p>
    <w:p w:rsidR="0043210E" w:rsidRDefault="005A58C6" w:rsidP="005A58C6">
      <w:pPr>
        <w:pStyle w:val="ListParagraph"/>
        <w:numPr>
          <w:ilvl w:val="0"/>
          <w:numId w:val="21"/>
        </w:numPr>
        <w:ind w:left="-720"/>
      </w:pPr>
      <w:r w:rsidRPr="004D5044">
        <w:t>The child must be placed in the Least Restrictive Environment (LRE)</w:t>
      </w:r>
      <w:r w:rsidR="005A76F4">
        <w:t xml:space="preserve"> appropriate for the student</w:t>
      </w:r>
      <w:r w:rsidRPr="004D5044">
        <w:t xml:space="preserve">, which means to the maximum extent appropriate, children with disabilities are educated with children who are nondisabled and are removed from the regular education class only if the nature or severity of the child’s disability is such that education in the regular classes, with the use of supplementary aids and services, cannot be achieved. </w:t>
      </w:r>
    </w:p>
    <w:p w:rsidR="0043210E" w:rsidRDefault="0043210E" w:rsidP="0043210E">
      <w:pPr>
        <w:pStyle w:val="ListParagraph"/>
      </w:pPr>
    </w:p>
    <w:p w:rsidR="005A58C6" w:rsidRPr="004D5044" w:rsidRDefault="005A58C6" w:rsidP="005A58C6">
      <w:pPr>
        <w:pStyle w:val="ListParagraph"/>
        <w:numPr>
          <w:ilvl w:val="0"/>
          <w:numId w:val="21"/>
        </w:numPr>
        <w:ind w:left="-720"/>
      </w:pPr>
      <w:r w:rsidRPr="004D5044">
        <w:t>The child’s placement must be as close as possible to the child’s home</w:t>
      </w:r>
      <w:r w:rsidR="005A76F4">
        <w:t xml:space="preserve">, but every school in </w:t>
      </w:r>
      <w:proofErr w:type="gramStart"/>
      <w:r w:rsidR="005A76F4">
        <w:t>an</w:t>
      </w:r>
      <w:proofErr w:type="gramEnd"/>
      <w:r w:rsidR="005A76F4">
        <w:t xml:space="preserve"> public school agency </w:t>
      </w:r>
      <w:r w:rsidR="0043210E">
        <w:t>does not need t</w:t>
      </w:r>
      <w:r w:rsidR="004025FD">
        <w:t>o have every program</w:t>
      </w:r>
      <w:r w:rsidRPr="004D5044">
        <w:t>.</w:t>
      </w:r>
    </w:p>
    <w:p w:rsidR="005A58C6" w:rsidRPr="004D5044" w:rsidRDefault="005A58C6" w:rsidP="005A58C6">
      <w:pPr>
        <w:ind w:left="-720"/>
      </w:pPr>
    </w:p>
    <w:p w:rsidR="005A58C6" w:rsidRPr="004D5044" w:rsidRDefault="005A58C6" w:rsidP="005A58C6">
      <w:pPr>
        <w:pStyle w:val="ListParagraph"/>
        <w:numPr>
          <w:ilvl w:val="0"/>
          <w:numId w:val="21"/>
        </w:numPr>
        <w:ind w:left="-720"/>
      </w:pPr>
      <w:r w:rsidRPr="004D5044">
        <w:lastRenderedPageBreak/>
        <w:t>The public school agency must ensure there is a continuum of alternative placements available to meet the needs of children with disabilities.  The continuum of alternative placements is the range of levels of special education services available from least restrictive to more restrictive.  The range of levels is as follows: instruction in regular education classroom (with supplementary</w:t>
      </w:r>
      <w:r w:rsidR="0043210E">
        <w:t xml:space="preserve"> supports and</w:t>
      </w:r>
      <w:r w:rsidRPr="004D5044">
        <w:t xml:space="preserve"> services), separate special education classroom,</w:t>
      </w:r>
      <w:r w:rsidR="0043210E">
        <w:t xml:space="preserve"> </w:t>
      </w:r>
      <w:r w:rsidRPr="004D5044">
        <w:t>separate special education school, home instruction, residential placement,</w:t>
      </w:r>
      <w:r w:rsidR="0043210E">
        <w:t xml:space="preserve"> </w:t>
      </w:r>
      <w:r w:rsidR="00812B07">
        <w:t xml:space="preserve">and </w:t>
      </w:r>
      <w:r w:rsidR="00812B07" w:rsidRPr="004D5044">
        <w:t>instruction</w:t>
      </w:r>
      <w:r w:rsidRPr="004D5044">
        <w:t xml:space="preserve"> in hospitals and institutions.</w:t>
      </w:r>
    </w:p>
    <w:p w:rsidR="005A58C6" w:rsidRPr="004D5044" w:rsidRDefault="005A58C6" w:rsidP="005A58C6">
      <w:pPr>
        <w:ind w:left="-720"/>
      </w:pPr>
    </w:p>
    <w:p w:rsidR="005A58C6" w:rsidRPr="004D5044" w:rsidRDefault="005A58C6" w:rsidP="005A58C6">
      <w:pPr>
        <w:numPr>
          <w:ilvl w:val="0"/>
          <w:numId w:val="21"/>
        </w:numPr>
        <w:ind w:left="-720"/>
      </w:pPr>
      <w:r w:rsidRPr="004D5044">
        <w:t>If the public school agency cannot provide a child with the services required by the child’s IEP, a parent can seek to have the child placed into a private placement at public expense.</w:t>
      </w:r>
    </w:p>
    <w:p w:rsidR="005A58C6" w:rsidRPr="004D5044" w:rsidRDefault="005A58C6" w:rsidP="005A58C6">
      <w:pPr>
        <w:ind w:left="-720"/>
      </w:pPr>
    </w:p>
    <w:p w:rsidR="005A58C6" w:rsidRPr="004D5044" w:rsidRDefault="005A58C6" w:rsidP="005A58C6">
      <w:pPr>
        <w:numPr>
          <w:ilvl w:val="0"/>
          <w:numId w:val="21"/>
        </w:numPr>
        <w:ind w:left="-720"/>
      </w:pPr>
      <w:r w:rsidRPr="004D5044">
        <w:t xml:space="preserve">Parents have the right to challenge any proposed placement and the child has the right to stay in his or her last current placement while the dispute gets resolved, except in </w:t>
      </w:r>
      <w:r w:rsidR="004025FD">
        <w:t xml:space="preserve">some </w:t>
      </w:r>
      <w:r w:rsidRPr="004D5044">
        <w:t xml:space="preserve">cases where disciplinary action is the basis for change in placement. </w:t>
      </w:r>
      <w:r w:rsidR="004025FD">
        <w:t>This is called “stay-put.”</w:t>
      </w:r>
    </w:p>
    <w:p w:rsidR="005A58C6" w:rsidRPr="004D5044" w:rsidRDefault="005A58C6" w:rsidP="005A58C6">
      <w:pPr>
        <w:ind w:left="-720"/>
      </w:pPr>
    </w:p>
    <w:p w:rsidR="00074BF2" w:rsidRPr="004D5044" w:rsidRDefault="005A58C6" w:rsidP="00074BF2">
      <w:pPr>
        <w:numPr>
          <w:ilvl w:val="0"/>
          <w:numId w:val="21"/>
        </w:numPr>
        <w:ind w:left="-720"/>
      </w:pPr>
      <w:r w:rsidRPr="004D5044">
        <w:t>Schools must give prior written notice</w:t>
      </w:r>
      <w:r w:rsidR="00812B07">
        <w:t xml:space="preserve"> (PWN)</w:t>
      </w:r>
      <w:r w:rsidRPr="004D5044">
        <w:t xml:space="preserve"> of any proposals or refusals to change a student’s location of services (i.e. school building). The notice must include an explanation of the change, information about a parent’s procedural protections, and contact information for resources that can help parents resolve issues with their child’s education.</w:t>
      </w:r>
      <w:r w:rsidR="004025FD">
        <w:t xml:space="preserve">  </w:t>
      </w:r>
    </w:p>
    <w:p w:rsidR="007B0613" w:rsidRPr="00F45493" w:rsidRDefault="007B0613" w:rsidP="007B0613">
      <w:pPr>
        <w:rPr>
          <w:sz w:val="22"/>
          <w:szCs w:val="22"/>
        </w:rPr>
      </w:pPr>
    </w:p>
    <w:tbl>
      <w:tblPr>
        <w:tblStyle w:val="TableGrid"/>
        <w:tblW w:w="0" w:type="auto"/>
        <w:tblInd w:w="-1062" w:type="dxa"/>
        <w:tblLook w:val="04A0" w:firstRow="1" w:lastRow="0" w:firstColumn="1" w:lastColumn="0" w:noHBand="0" w:noVBand="1"/>
      </w:tblPr>
      <w:tblGrid>
        <w:gridCol w:w="10998"/>
      </w:tblGrid>
      <w:tr w:rsidR="007B0613" w:rsidTr="00802463">
        <w:trPr>
          <w:trHeight w:val="350"/>
        </w:trPr>
        <w:tc>
          <w:tcPr>
            <w:tcW w:w="10998" w:type="dxa"/>
            <w:shd w:val="clear" w:color="auto" w:fill="C00000"/>
          </w:tcPr>
          <w:p w:rsidR="007B0613" w:rsidRPr="00DD2B65" w:rsidRDefault="007B0613" w:rsidP="0010030E">
            <w:pPr>
              <w:rPr>
                <w:b/>
                <w:color w:val="FFFFFF" w:themeColor="background1"/>
                <w:sz w:val="25"/>
                <w:szCs w:val="25"/>
              </w:rPr>
            </w:pPr>
            <w:r w:rsidRPr="00DD2B65">
              <w:rPr>
                <w:b/>
                <w:color w:val="FFFFFF" w:themeColor="background1"/>
                <w:sz w:val="25"/>
                <w:szCs w:val="25"/>
              </w:rPr>
              <w:t>Step 7 – Annual Review</w:t>
            </w:r>
          </w:p>
        </w:tc>
      </w:tr>
    </w:tbl>
    <w:p w:rsidR="001067C8" w:rsidRDefault="001067C8" w:rsidP="001067C8">
      <w:pPr>
        <w:ind w:left="-720"/>
        <w:rPr>
          <w:sz w:val="22"/>
          <w:szCs w:val="22"/>
        </w:rPr>
      </w:pPr>
    </w:p>
    <w:p w:rsidR="007B0613" w:rsidRPr="004D5044" w:rsidRDefault="007B0613" w:rsidP="007B0613">
      <w:pPr>
        <w:numPr>
          <w:ilvl w:val="0"/>
          <w:numId w:val="15"/>
        </w:numPr>
        <w:tabs>
          <w:tab w:val="clear" w:pos="720"/>
        </w:tabs>
        <w:ind w:left="-720"/>
      </w:pPr>
      <w:r w:rsidRPr="004D5044">
        <w:t>A child’s IEP must be reviewed</w:t>
      </w:r>
      <w:r w:rsidR="004025FD">
        <w:t xml:space="preserve"> and placement determined</w:t>
      </w:r>
      <w:r w:rsidRPr="004D5044">
        <w:t xml:space="preserve"> at least once a year.</w:t>
      </w:r>
    </w:p>
    <w:p w:rsidR="007B0613" w:rsidRPr="004D5044" w:rsidRDefault="007B0613" w:rsidP="007B0613">
      <w:pPr>
        <w:ind w:left="-720"/>
      </w:pPr>
    </w:p>
    <w:p w:rsidR="007B0613" w:rsidRPr="004D5044" w:rsidRDefault="007B0613" w:rsidP="007B0613">
      <w:pPr>
        <w:numPr>
          <w:ilvl w:val="0"/>
          <w:numId w:val="15"/>
        </w:numPr>
        <w:tabs>
          <w:tab w:val="clear" w:pos="720"/>
        </w:tabs>
        <w:ind w:left="-720"/>
      </w:pPr>
      <w:r w:rsidRPr="004D5044">
        <w:t xml:space="preserve">The purpose of the annual review is to determine the child’s progress, to modify or develop a new IEP, and to revisit the student’s disability classification and placement level. </w:t>
      </w:r>
      <w:r w:rsidR="004025FD">
        <w:t xml:space="preserve"> However, p</w:t>
      </w:r>
      <w:r w:rsidRPr="004D5044">
        <w:t>arents may request a review at any time during the year.</w:t>
      </w:r>
    </w:p>
    <w:p w:rsidR="007B0613" w:rsidRPr="004D5044" w:rsidRDefault="007B0613" w:rsidP="007B0613">
      <w:pPr>
        <w:ind w:left="-720"/>
      </w:pPr>
    </w:p>
    <w:p w:rsidR="007B0613" w:rsidRPr="004D5044" w:rsidRDefault="007B0613" w:rsidP="007B0613">
      <w:pPr>
        <w:numPr>
          <w:ilvl w:val="0"/>
          <w:numId w:val="15"/>
        </w:numPr>
        <w:tabs>
          <w:tab w:val="clear" w:pos="720"/>
        </w:tabs>
        <w:ind w:left="-720"/>
      </w:pPr>
      <w:r w:rsidRPr="004D5044">
        <w:t>Parents have a right to observe their children in her/his current or proposed special education classroom or to designate a person to observe on their behalf. Parents can bring with them to observe, or send in their place, a person with professional expertise in the area being observed or a person who can facilitate</w:t>
      </w:r>
      <w:r w:rsidR="000433D2">
        <w:t xml:space="preserve"> observation for a parent with</w:t>
      </w:r>
      <w:r w:rsidR="000A748C">
        <w:t xml:space="preserve"> a</w:t>
      </w:r>
      <w:r w:rsidRPr="004D5044">
        <w:t xml:space="preserve"> disability or language translation needs. </w:t>
      </w:r>
      <w:r w:rsidR="001E6A3B" w:rsidRPr="004D5044">
        <w:t xml:space="preserve"> Parents can observe at any time during the year</w:t>
      </w:r>
      <w:r w:rsidR="007E17F0">
        <w:t xml:space="preserve">, but schools can request reasonable notice, etc.  </w:t>
      </w:r>
    </w:p>
    <w:p w:rsidR="00E4055E" w:rsidRDefault="00E4055E" w:rsidP="00E4055E">
      <w:pPr>
        <w:rPr>
          <w:sz w:val="22"/>
          <w:szCs w:val="22"/>
        </w:rPr>
      </w:pPr>
    </w:p>
    <w:p w:rsidR="00074BF2" w:rsidRPr="00F45493" w:rsidRDefault="00074BF2" w:rsidP="00E4055E">
      <w:pPr>
        <w:rPr>
          <w:sz w:val="22"/>
          <w:szCs w:val="22"/>
        </w:rPr>
      </w:pPr>
    </w:p>
    <w:tbl>
      <w:tblPr>
        <w:tblStyle w:val="TableGrid"/>
        <w:tblW w:w="0" w:type="auto"/>
        <w:tblInd w:w="-1062" w:type="dxa"/>
        <w:tblLook w:val="04A0" w:firstRow="1" w:lastRow="0" w:firstColumn="1" w:lastColumn="0" w:noHBand="0" w:noVBand="1"/>
      </w:tblPr>
      <w:tblGrid>
        <w:gridCol w:w="10998"/>
      </w:tblGrid>
      <w:tr w:rsidR="00E4055E" w:rsidTr="00802463">
        <w:trPr>
          <w:trHeight w:val="377"/>
        </w:trPr>
        <w:tc>
          <w:tcPr>
            <w:tcW w:w="10998" w:type="dxa"/>
            <w:shd w:val="clear" w:color="auto" w:fill="C00000"/>
          </w:tcPr>
          <w:p w:rsidR="00E4055E" w:rsidRPr="00DD2B65" w:rsidRDefault="00E4055E" w:rsidP="0010030E">
            <w:pPr>
              <w:rPr>
                <w:b/>
                <w:color w:val="FFFFFF" w:themeColor="background1"/>
                <w:sz w:val="25"/>
                <w:szCs w:val="25"/>
              </w:rPr>
            </w:pPr>
            <w:r w:rsidRPr="00DD2B65">
              <w:rPr>
                <w:b/>
                <w:color w:val="FFFFFF" w:themeColor="background1"/>
                <w:sz w:val="25"/>
                <w:szCs w:val="25"/>
              </w:rPr>
              <w:t>Step 8 – Triennial Review</w:t>
            </w:r>
          </w:p>
        </w:tc>
      </w:tr>
    </w:tbl>
    <w:p w:rsidR="001E6A3B" w:rsidRDefault="001E6A3B" w:rsidP="001E6A3B">
      <w:pPr>
        <w:ind w:left="-720"/>
        <w:rPr>
          <w:sz w:val="22"/>
          <w:szCs w:val="22"/>
        </w:rPr>
      </w:pPr>
    </w:p>
    <w:p w:rsidR="00E4055E" w:rsidRPr="004D5044" w:rsidRDefault="00E4055E" w:rsidP="00E4055E">
      <w:pPr>
        <w:numPr>
          <w:ilvl w:val="0"/>
          <w:numId w:val="16"/>
        </w:numPr>
        <w:tabs>
          <w:tab w:val="clear" w:pos="720"/>
        </w:tabs>
        <w:ind w:left="-720"/>
      </w:pPr>
      <w:r w:rsidRPr="004D5044">
        <w:t>A child must be fully reevaluated every three (3) years, unless the parent and the public school agency agree that a reevaluation is not necessary.</w:t>
      </w:r>
      <w:r w:rsidR="004025FD">
        <w:t xml:space="preserve">  If the parent and school agree that</w:t>
      </w:r>
      <w:r w:rsidR="0043210E">
        <w:t xml:space="preserve"> a</w:t>
      </w:r>
      <w:r w:rsidR="004025FD">
        <w:t xml:space="preserve"> re-evaluation is not needed, an “analysis of existing data” is completed and reviewed instead of </w:t>
      </w:r>
      <w:r w:rsidR="007E17F0">
        <w:t>evaluations</w:t>
      </w:r>
      <w:r w:rsidR="004025FD">
        <w:t>.</w:t>
      </w:r>
      <w:r w:rsidR="0043210E">
        <w:t xml:space="preserve">  After the analysis of existing data, a parent or school can request additional evaluations.  </w:t>
      </w:r>
    </w:p>
    <w:p w:rsidR="00E4055E" w:rsidRPr="004D5044" w:rsidRDefault="00E4055E" w:rsidP="00E4055E">
      <w:pPr>
        <w:ind w:left="-720"/>
      </w:pPr>
    </w:p>
    <w:p w:rsidR="00E4055E" w:rsidRPr="004D5044" w:rsidRDefault="00E4055E" w:rsidP="00E4055E">
      <w:pPr>
        <w:numPr>
          <w:ilvl w:val="0"/>
          <w:numId w:val="16"/>
        </w:numPr>
        <w:tabs>
          <w:tab w:val="clear" w:pos="720"/>
        </w:tabs>
        <w:ind w:left="-720"/>
      </w:pPr>
      <w:r w:rsidRPr="004D5044">
        <w:t xml:space="preserve">The purpose of the triennial review is to </w:t>
      </w:r>
      <w:r w:rsidR="004025FD">
        <w:t>confirm th</w:t>
      </w:r>
      <w:r w:rsidRPr="004D5044">
        <w:t>e child’s disability, instruction, and related service needs.</w:t>
      </w:r>
    </w:p>
    <w:p w:rsidR="00E4055E" w:rsidRPr="004D5044" w:rsidRDefault="00E4055E" w:rsidP="00E4055E">
      <w:pPr>
        <w:ind w:left="-720"/>
      </w:pPr>
    </w:p>
    <w:p w:rsidR="00A753A6" w:rsidRDefault="00E4055E" w:rsidP="00A753A6">
      <w:pPr>
        <w:numPr>
          <w:ilvl w:val="0"/>
          <w:numId w:val="16"/>
        </w:numPr>
        <w:tabs>
          <w:tab w:val="clear" w:pos="720"/>
        </w:tabs>
        <w:ind w:left="-720"/>
      </w:pPr>
      <w:r w:rsidRPr="004D5044">
        <w:t>Parents may request reevaluations at any time during the three year period if there are concerns; however, a reevaluation may not occur more than once a year unless the parent and the public school agency agree otherwise.</w:t>
      </w:r>
    </w:p>
    <w:p w:rsidR="00A753A6" w:rsidRDefault="00A753A6" w:rsidP="00A753A6">
      <w:pPr>
        <w:pStyle w:val="ListParagraph"/>
        <w:rPr>
          <w:b/>
        </w:rPr>
      </w:pPr>
    </w:p>
    <w:p w:rsidR="00FD7152" w:rsidRPr="00113D12" w:rsidRDefault="00D43B7D" w:rsidP="00113D12">
      <w:pPr>
        <w:numPr>
          <w:ilvl w:val="0"/>
          <w:numId w:val="16"/>
        </w:numPr>
        <w:tabs>
          <w:tab w:val="clear" w:pos="720"/>
        </w:tabs>
        <w:ind w:left="-720"/>
        <w:rPr>
          <w:sz w:val="22"/>
          <w:szCs w:val="22"/>
        </w:rPr>
      </w:pPr>
      <w:r w:rsidRPr="00A753A6">
        <w:rPr>
          <w:b/>
        </w:rPr>
        <w:t>Need Additional Help</w:t>
      </w:r>
      <w:r w:rsidRPr="00A753A6">
        <w:rPr>
          <w:b/>
          <w:sz w:val="22"/>
          <w:szCs w:val="22"/>
        </w:rPr>
        <w:t xml:space="preserve">?  </w:t>
      </w:r>
      <w:r w:rsidR="00A753A6" w:rsidRPr="00A753A6">
        <w:rPr>
          <w:sz w:val="22"/>
          <w:szCs w:val="22"/>
        </w:rPr>
        <w:t>If you have questions or would like to request our assistance in challeng</w:t>
      </w:r>
      <w:r w:rsidR="00113D12">
        <w:rPr>
          <w:sz w:val="22"/>
          <w:szCs w:val="22"/>
        </w:rPr>
        <w:t xml:space="preserve">ing a suspension or expulsion, </w:t>
      </w:r>
      <w:r w:rsidR="00A753A6" w:rsidRPr="00A753A6">
        <w:rPr>
          <w:sz w:val="22"/>
          <w:szCs w:val="22"/>
        </w:rPr>
        <w:t xml:space="preserve">call, email or visit AJE.  (202) 678-8060 • </w:t>
      </w:r>
      <w:hyperlink r:id="rId13" w:history="1">
        <w:r w:rsidR="00A753A6" w:rsidRPr="00A753A6">
          <w:rPr>
            <w:rStyle w:val="Hyperlink"/>
            <w:sz w:val="22"/>
            <w:szCs w:val="22"/>
          </w:rPr>
          <w:t>information@aje-dc.org</w:t>
        </w:r>
      </w:hyperlink>
      <w:r w:rsidR="00A753A6" w:rsidRPr="00A753A6">
        <w:rPr>
          <w:rStyle w:val="Hyperlink"/>
          <w:sz w:val="22"/>
          <w:szCs w:val="22"/>
        </w:rPr>
        <w:t xml:space="preserve"> </w:t>
      </w:r>
      <w:r w:rsidR="00A753A6" w:rsidRPr="00A753A6">
        <w:rPr>
          <w:sz w:val="22"/>
          <w:szCs w:val="22"/>
        </w:rPr>
        <w:t xml:space="preserve"> </w:t>
      </w:r>
      <w:proofErr w:type="gramStart"/>
      <w:r w:rsidR="00A753A6" w:rsidRPr="00A753A6">
        <w:rPr>
          <w:sz w:val="22"/>
          <w:szCs w:val="22"/>
        </w:rPr>
        <w:t xml:space="preserve">•  </w:t>
      </w:r>
      <w:proofErr w:type="gramEnd"/>
      <w:hyperlink r:id="rId14" w:history="1">
        <w:r w:rsidR="00A753A6" w:rsidRPr="00A753A6">
          <w:rPr>
            <w:rStyle w:val="Hyperlink"/>
            <w:sz w:val="22"/>
            <w:szCs w:val="22"/>
          </w:rPr>
          <w:t>www.aje-dc.org</w:t>
        </w:r>
      </w:hyperlink>
      <w:r w:rsidR="00A753A6" w:rsidRPr="00A753A6">
        <w:rPr>
          <w:sz w:val="22"/>
          <w:szCs w:val="22"/>
        </w:rPr>
        <w:t xml:space="preserve">   •  1200 G</w:t>
      </w:r>
      <w:r w:rsidR="006F6315">
        <w:rPr>
          <w:sz w:val="22"/>
          <w:szCs w:val="22"/>
        </w:rPr>
        <w:t xml:space="preserve">  </w:t>
      </w:r>
      <w:r w:rsidR="00A753A6" w:rsidRPr="00A753A6">
        <w:rPr>
          <w:sz w:val="22"/>
          <w:szCs w:val="22"/>
        </w:rPr>
        <w:t xml:space="preserve"> Street NW Suite 725 • Washingt</w:t>
      </w:r>
      <w:r w:rsidR="00A753A6">
        <w:rPr>
          <w:sz w:val="22"/>
          <w:szCs w:val="22"/>
        </w:rPr>
        <w:t>on, D.C. 2000</w:t>
      </w:r>
      <w:r w:rsidR="00ED035F">
        <w:rPr>
          <w:sz w:val="22"/>
          <w:szCs w:val="22"/>
        </w:rPr>
        <w:t>5</w:t>
      </w:r>
      <w:bookmarkStart w:id="0" w:name="_GoBack"/>
      <w:bookmarkEnd w:id="0"/>
      <w:r w:rsidR="00A753A6">
        <w:rPr>
          <w:sz w:val="22"/>
          <w:szCs w:val="22"/>
        </w:rPr>
        <w:t xml:space="preserve"> (Metro Center). </w:t>
      </w:r>
      <w:r w:rsidR="00A753A6" w:rsidRPr="00A753A6">
        <w:rPr>
          <w:sz w:val="22"/>
          <w:szCs w:val="22"/>
        </w:rPr>
        <w:t>Mary’s Center Intake on Tuesdays and Thursdays at 3912 Georgia Avenue, NW, Washington, DC 20011.</w:t>
      </w:r>
    </w:p>
    <w:sectPr w:rsidR="00FD7152" w:rsidRPr="00113D12" w:rsidSect="00160D57">
      <w:footerReference w:type="default" r:id="rId15"/>
      <w:type w:val="continuous"/>
      <w:pgSz w:w="12240" w:h="15840" w:code="1"/>
      <w:pgMar w:top="270" w:right="720" w:bottom="630" w:left="1800" w:header="278" w:footer="720" w:gutter="0"/>
      <w:pgBorders w:offsetFrom="page">
        <w:top w:val="single" w:sz="4" w:space="24" w:color="auto"/>
        <w:left w:val="single" w:sz="4" w:space="24" w:color="auto"/>
        <w:bottom w:val="single" w:sz="4" w:space="24" w:color="auto"/>
        <w:right w:val="single" w:sz="4" w:space="24" w:color="auto"/>
      </w:pgBorders>
      <w:cols w:space="669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BFE7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1D3" w:rsidRDefault="00E941D3">
      <w:r>
        <w:separator/>
      </w:r>
    </w:p>
  </w:endnote>
  <w:endnote w:type="continuationSeparator" w:id="0">
    <w:p w:rsidR="00E941D3" w:rsidRDefault="00E9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PHKA O+ Bell Gothic Std">
    <w:altName w:val="CPHKA O+ Bell Gothic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DDB356874DDF4B339685B69A2EA737CE"/>
      </w:placeholder>
      <w:temporary/>
      <w:showingPlcHdr/>
    </w:sdtPr>
    <w:sdtEndPr/>
    <w:sdtContent>
      <w:p w:rsidR="005A76F4" w:rsidRDefault="005A76F4">
        <w:pPr>
          <w:pStyle w:val="Footer"/>
        </w:pPr>
        <w:r>
          <w:t>[Type text]</w:t>
        </w:r>
      </w:p>
    </w:sdtContent>
  </w:sdt>
  <w:p w:rsidR="005A76F4" w:rsidRDefault="005A7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F4" w:rsidRPr="00C708D4" w:rsidRDefault="005A76F4" w:rsidP="001067C8">
    <w:r>
      <w:rPr>
        <w:vertAlign w:val="superscript"/>
      </w:rPr>
      <w:t xml:space="preserve">                                                                                                                                                                                                                                                                                                                                                       </w:t>
    </w:r>
  </w:p>
  <w:p w:rsidR="005A76F4" w:rsidRDefault="005A76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F4" w:rsidRDefault="00812B07" w:rsidP="00812B07">
    <w:pPr>
      <w:pStyle w:val="Footer"/>
      <w:tabs>
        <w:tab w:val="clear" w:pos="8640"/>
        <w:tab w:val="right" w:pos="9630"/>
        <w:tab w:val="right" w:pos="10620"/>
      </w:tabs>
    </w:pPr>
    <w:r>
      <w:rPr>
        <w:rFonts w:ascii="Garamond" w:hAnsi="Garamond"/>
        <w:sz w:val="20"/>
        <w:szCs w:val="20"/>
      </w:rPr>
      <w:tab/>
    </w:r>
    <w:r>
      <w:rPr>
        <w:rFonts w:ascii="Garamond" w:hAnsi="Garamond"/>
        <w:sz w:val="20"/>
        <w:szCs w:val="20"/>
      </w:rPr>
      <w:tab/>
    </w:r>
    <w:r w:rsidR="00113D12">
      <w:rPr>
        <w:rFonts w:ascii="Garamond" w:hAnsi="Garamond"/>
        <w:sz w:val="20"/>
        <w:szCs w:val="20"/>
      </w:rPr>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1D3" w:rsidRDefault="00E941D3">
      <w:r>
        <w:separator/>
      </w:r>
    </w:p>
  </w:footnote>
  <w:footnote w:type="continuationSeparator" w:id="0">
    <w:p w:rsidR="00E941D3" w:rsidRDefault="00E94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F4" w:rsidRDefault="005A76F4" w:rsidP="00DB5414">
    <w:pPr>
      <w:pStyle w:val="Header"/>
      <w:jc w:val="right"/>
    </w:pPr>
    <w:r>
      <w:rPr>
        <w:noProof/>
      </w:rPr>
      <w:drawing>
        <wp:inline distT="0" distB="0" distL="0" distR="0" wp14:anchorId="44CD33F1" wp14:editId="0F4E6D16">
          <wp:extent cx="5454015" cy="128905"/>
          <wp:effectExtent l="19050" t="0" r="0" b="0"/>
          <wp:docPr id="13" name="Picture 2" descr="masthead_top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head_top_n"/>
                  <pic:cNvPicPr>
                    <a:picLocks noChangeAspect="1" noChangeArrowheads="1"/>
                  </pic:cNvPicPr>
                </pic:nvPicPr>
                <pic:blipFill>
                  <a:blip r:embed="rId1"/>
                  <a:srcRect/>
                  <a:stretch>
                    <a:fillRect/>
                  </a:stretch>
                </pic:blipFill>
                <pic:spPr bwMode="auto">
                  <a:xfrm>
                    <a:off x="0" y="0"/>
                    <a:ext cx="5454015" cy="1289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F4" w:rsidRDefault="005A76F4" w:rsidP="007E31CD">
    <w:pPr>
      <w:pStyle w:val="Header"/>
      <w:tabs>
        <w:tab w:val="clear" w:pos="4320"/>
        <w:tab w:val="clear" w:pos="8640"/>
        <w:tab w:val="left" w:pos="10710"/>
      </w:tabs>
      <w:ind w:left="-720" w:right="90"/>
      <w:jc w:val="center"/>
      <w:rPr>
        <w:b/>
        <w:sz w:val="32"/>
        <w:szCs w:val="32"/>
      </w:rPr>
    </w:pPr>
    <w:r>
      <w:rPr>
        <w:noProof/>
      </w:rPr>
      <w:drawing>
        <wp:anchor distT="0" distB="0" distL="114300" distR="114300" simplePos="0" relativeHeight="251658240" behindDoc="1" locked="0" layoutInCell="1" allowOverlap="1" wp14:anchorId="68F62E2D" wp14:editId="47565B4D">
          <wp:simplePos x="0" y="0"/>
          <wp:positionH relativeFrom="column">
            <wp:posOffset>161290</wp:posOffset>
          </wp:positionH>
          <wp:positionV relativeFrom="paragraph">
            <wp:posOffset>203835</wp:posOffset>
          </wp:positionV>
          <wp:extent cx="1000125" cy="1000125"/>
          <wp:effectExtent l="0" t="0" r="9525" b="9525"/>
          <wp:wrapTight wrapText="bothSides">
            <wp:wrapPolygon edited="0">
              <wp:start x="0" y="0"/>
              <wp:lineTo x="0" y="21394"/>
              <wp:lineTo x="21394" y="21394"/>
              <wp:lineTo x="21394" y="0"/>
              <wp:lineTo x="0" y="0"/>
            </wp:wrapPolygon>
          </wp:wrapTight>
          <wp:docPr id="3" name="Picture 3" descr="AJ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E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83E">
      <w:rPr>
        <w:b/>
        <w:sz w:val="32"/>
        <w:szCs w:val="32"/>
      </w:rPr>
      <w:t xml:space="preserve"> </w:t>
    </w:r>
    <w:r>
      <w:rPr>
        <w:b/>
        <w:sz w:val="32"/>
        <w:szCs w:val="32"/>
      </w:rPr>
      <w:t xml:space="preserve">     </w:t>
    </w:r>
  </w:p>
  <w:p w:rsidR="005A76F4" w:rsidRPr="00802463" w:rsidRDefault="005A76F4" w:rsidP="00A65F6A">
    <w:pPr>
      <w:pStyle w:val="Header"/>
      <w:tabs>
        <w:tab w:val="clear" w:pos="4320"/>
        <w:tab w:val="clear" w:pos="8640"/>
        <w:tab w:val="left" w:pos="-75"/>
        <w:tab w:val="left" w:pos="780"/>
        <w:tab w:val="center" w:pos="4995"/>
        <w:tab w:val="left" w:pos="10710"/>
      </w:tabs>
      <w:ind w:right="90"/>
      <w:jc w:val="center"/>
      <w:rPr>
        <w:rFonts w:asciiTheme="majorHAnsi" w:hAnsiTheme="majorHAnsi"/>
        <w:b/>
        <w:color w:val="1F497D" w:themeColor="text2"/>
        <w:sz w:val="44"/>
        <w:szCs w:val="44"/>
      </w:rPr>
    </w:pPr>
    <w:r>
      <w:rPr>
        <w:rFonts w:asciiTheme="majorHAnsi" w:hAnsiTheme="majorHAnsi"/>
        <w:b/>
        <w:color w:val="1F497D" w:themeColor="text2"/>
        <w:sz w:val="40"/>
        <w:szCs w:val="40"/>
      </w:rPr>
      <w:tab/>
      <w:t xml:space="preserve">        </w:t>
    </w:r>
    <w:r w:rsidRPr="00802463">
      <w:rPr>
        <w:rFonts w:asciiTheme="majorHAnsi" w:hAnsiTheme="majorHAnsi"/>
        <w:b/>
        <w:color w:val="1F497D" w:themeColor="text2"/>
        <w:sz w:val="44"/>
        <w:szCs w:val="44"/>
      </w:rPr>
      <w:t>Advocates for Justice and Education, Inc.</w:t>
    </w:r>
  </w:p>
  <w:p w:rsidR="005A76F4" w:rsidRPr="00802463" w:rsidRDefault="005A76F4" w:rsidP="00A65F6A">
    <w:pPr>
      <w:pStyle w:val="Header"/>
      <w:tabs>
        <w:tab w:val="clear" w:pos="4320"/>
        <w:tab w:val="clear" w:pos="8640"/>
        <w:tab w:val="left" w:pos="1170"/>
        <w:tab w:val="left" w:pos="10710"/>
      </w:tabs>
      <w:ind w:right="90"/>
      <w:jc w:val="center"/>
      <w:rPr>
        <w:rStyle w:val="Emphasis"/>
        <w:rFonts w:asciiTheme="majorHAnsi" w:hAnsiTheme="majorHAnsi"/>
        <w:color w:val="C00000"/>
        <w:sz w:val="22"/>
        <w:szCs w:val="22"/>
      </w:rPr>
    </w:pPr>
    <w:r>
      <w:rPr>
        <w:rStyle w:val="Emphasis"/>
        <w:rFonts w:asciiTheme="majorHAnsi" w:hAnsiTheme="majorHAnsi"/>
        <w:color w:val="C00000"/>
        <w:sz w:val="20"/>
        <w:szCs w:val="20"/>
      </w:rPr>
      <w:t xml:space="preserve">         </w:t>
    </w:r>
    <w:r>
      <w:rPr>
        <w:rStyle w:val="Emphasis"/>
        <w:rFonts w:asciiTheme="majorHAnsi" w:hAnsiTheme="majorHAnsi"/>
        <w:color w:val="C00000"/>
        <w:sz w:val="20"/>
        <w:szCs w:val="20"/>
      </w:rPr>
      <w:tab/>
      <w:t xml:space="preserve">   </w:t>
    </w:r>
    <w:r w:rsidRPr="00802463">
      <w:rPr>
        <w:rStyle w:val="Emphasis"/>
        <w:rFonts w:asciiTheme="majorHAnsi" w:hAnsiTheme="majorHAnsi"/>
        <w:color w:val="C00000"/>
        <w:sz w:val="22"/>
        <w:szCs w:val="22"/>
      </w:rPr>
      <w:t>The federally designated Parent Training and Information Center for Washington DC</w:t>
    </w:r>
  </w:p>
  <w:p w:rsidR="005A76F4" w:rsidRDefault="005A76F4" w:rsidP="00A65F6A">
    <w:pPr>
      <w:pStyle w:val="Header"/>
      <w:tabs>
        <w:tab w:val="clear" w:pos="4320"/>
        <w:tab w:val="clear" w:pos="8640"/>
        <w:tab w:val="left" w:pos="3975"/>
        <w:tab w:val="center" w:pos="4995"/>
        <w:tab w:val="left" w:pos="10710"/>
      </w:tabs>
      <w:ind w:left="-720" w:right="90"/>
      <w:jc w:val="center"/>
      <w:rPr>
        <w:rFonts w:ascii="Georgia" w:hAnsi="Georgia"/>
        <w:b/>
        <w:color w:val="1F497D" w:themeColor="text2"/>
        <w:sz w:val="32"/>
        <w:szCs w:val="32"/>
      </w:rPr>
    </w:pPr>
  </w:p>
  <w:p w:rsidR="005A76F4" w:rsidRPr="00A65F6A" w:rsidRDefault="005A76F4" w:rsidP="00A65F6A">
    <w:pPr>
      <w:pStyle w:val="Header"/>
      <w:tabs>
        <w:tab w:val="clear" w:pos="4320"/>
        <w:tab w:val="clear" w:pos="8640"/>
        <w:tab w:val="left" w:pos="3975"/>
        <w:tab w:val="center" w:pos="4995"/>
        <w:tab w:val="left" w:pos="10710"/>
      </w:tabs>
      <w:ind w:right="90"/>
      <w:jc w:val="center"/>
      <w:rPr>
        <w:rFonts w:asciiTheme="majorHAnsi" w:hAnsiTheme="majorHAnsi"/>
        <w:noProof/>
        <w:sz w:val="36"/>
        <w:szCs w:val="36"/>
      </w:rPr>
    </w:pPr>
    <w:r>
      <w:rPr>
        <w:rFonts w:asciiTheme="majorHAnsi" w:hAnsiTheme="majorHAnsi"/>
        <w:b/>
        <w:color w:val="1F497D" w:themeColor="text2"/>
        <w:sz w:val="36"/>
        <w:szCs w:val="36"/>
      </w:rPr>
      <w:t xml:space="preserve">         </w:t>
    </w:r>
    <w:r w:rsidRPr="00A65F6A">
      <w:rPr>
        <w:rFonts w:asciiTheme="majorHAnsi" w:hAnsiTheme="majorHAnsi"/>
        <w:b/>
        <w:color w:val="1F497D" w:themeColor="text2"/>
        <w:sz w:val="36"/>
        <w:szCs w:val="36"/>
      </w:rPr>
      <w:t>The Special Education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051D"/>
    <w:multiLevelType w:val="hybridMultilevel"/>
    <w:tmpl w:val="8E50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51EC4"/>
    <w:multiLevelType w:val="multilevel"/>
    <w:tmpl w:val="667AD5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3A619B"/>
    <w:multiLevelType w:val="hybridMultilevel"/>
    <w:tmpl w:val="E4DFF1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38449F5"/>
    <w:multiLevelType w:val="hybridMultilevel"/>
    <w:tmpl w:val="DDA82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1497B"/>
    <w:multiLevelType w:val="hybridMultilevel"/>
    <w:tmpl w:val="667AD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DC573E"/>
    <w:multiLevelType w:val="multilevel"/>
    <w:tmpl w:val="6FDA5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57F048C"/>
    <w:multiLevelType w:val="hybridMultilevel"/>
    <w:tmpl w:val="53CE6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9D482C"/>
    <w:multiLevelType w:val="hybridMultilevel"/>
    <w:tmpl w:val="E7D6B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FC045A"/>
    <w:multiLevelType w:val="hybridMultilevel"/>
    <w:tmpl w:val="4A143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61493A"/>
    <w:multiLevelType w:val="hybridMultilevel"/>
    <w:tmpl w:val="FC9452A0"/>
    <w:lvl w:ilvl="0" w:tplc="5D46B29A">
      <w:start w:val="1"/>
      <w:numFmt w:val="bullet"/>
      <w:lvlText w:val=""/>
      <w:lvlJc w:val="left"/>
      <w:pPr>
        <w:tabs>
          <w:tab w:val="num" w:pos="144"/>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BE7A3E"/>
    <w:multiLevelType w:val="hybridMultilevel"/>
    <w:tmpl w:val="E280D1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03C70E8"/>
    <w:multiLevelType w:val="hybridMultilevel"/>
    <w:tmpl w:val="A37E9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63180"/>
    <w:multiLevelType w:val="hybridMultilevel"/>
    <w:tmpl w:val="6FDA5DD8"/>
    <w:lvl w:ilvl="0" w:tplc="8566F9D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5D4E92"/>
    <w:multiLevelType w:val="hybridMultilevel"/>
    <w:tmpl w:val="DDBC12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0CC624F"/>
    <w:multiLevelType w:val="hybridMultilevel"/>
    <w:tmpl w:val="9758961C"/>
    <w:lvl w:ilvl="0" w:tplc="1CDC87B8">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620303"/>
    <w:multiLevelType w:val="hybridMultilevel"/>
    <w:tmpl w:val="62502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E1426A"/>
    <w:multiLevelType w:val="hybridMultilevel"/>
    <w:tmpl w:val="6F410D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B186A6E"/>
    <w:multiLevelType w:val="hybridMultilevel"/>
    <w:tmpl w:val="A0F67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7531DD"/>
    <w:multiLevelType w:val="hybridMultilevel"/>
    <w:tmpl w:val="AE043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910E6A"/>
    <w:multiLevelType w:val="hybridMultilevel"/>
    <w:tmpl w:val="56846C06"/>
    <w:lvl w:ilvl="0" w:tplc="C81086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E2552C"/>
    <w:multiLevelType w:val="hybridMultilevel"/>
    <w:tmpl w:val="88547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9"/>
  </w:num>
  <w:num w:numId="4">
    <w:abstractNumId w:val="12"/>
  </w:num>
  <w:num w:numId="5">
    <w:abstractNumId w:val="5"/>
  </w:num>
  <w:num w:numId="6">
    <w:abstractNumId w:val="9"/>
  </w:num>
  <w:num w:numId="7">
    <w:abstractNumId w:val="16"/>
  </w:num>
  <w:num w:numId="8">
    <w:abstractNumId w:val="2"/>
  </w:num>
  <w:num w:numId="9">
    <w:abstractNumId w:val="13"/>
  </w:num>
  <w:num w:numId="10">
    <w:abstractNumId w:val="10"/>
  </w:num>
  <w:num w:numId="11">
    <w:abstractNumId w:val="18"/>
  </w:num>
  <w:num w:numId="12">
    <w:abstractNumId w:val="8"/>
  </w:num>
  <w:num w:numId="13">
    <w:abstractNumId w:val="14"/>
  </w:num>
  <w:num w:numId="14">
    <w:abstractNumId w:val="15"/>
  </w:num>
  <w:num w:numId="15">
    <w:abstractNumId w:val="17"/>
  </w:num>
  <w:num w:numId="16">
    <w:abstractNumId w:val="7"/>
  </w:num>
  <w:num w:numId="17">
    <w:abstractNumId w:val="0"/>
  </w:num>
  <w:num w:numId="18">
    <w:abstractNumId w:val="11"/>
  </w:num>
  <w:num w:numId="19">
    <w:abstractNumId w:val="3"/>
  </w:num>
  <w:num w:numId="20">
    <w:abstractNumId w:val="20"/>
  </w:num>
  <w:num w:numId="2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JE Staff">
    <w15:presenceInfo w15:providerId="None" w15:userId="AJE 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187"/>
  <w:displayHorizontalDrawingGridEvery w:val="2"/>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BD"/>
    <w:rsid w:val="00001121"/>
    <w:rsid w:val="00003B8F"/>
    <w:rsid w:val="00005DD1"/>
    <w:rsid w:val="00013AA0"/>
    <w:rsid w:val="0003437D"/>
    <w:rsid w:val="00035E67"/>
    <w:rsid w:val="000433D2"/>
    <w:rsid w:val="00043AD9"/>
    <w:rsid w:val="000513E0"/>
    <w:rsid w:val="00061AF7"/>
    <w:rsid w:val="00063CB7"/>
    <w:rsid w:val="00064624"/>
    <w:rsid w:val="000657B6"/>
    <w:rsid w:val="000704AF"/>
    <w:rsid w:val="00074BF2"/>
    <w:rsid w:val="00081657"/>
    <w:rsid w:val="00082BB5"/>
    <w:rsid w:val="000856D8"/>
    <w:rsid w:val="000865C3"/>
    <w:rsid w:val="00087921"/>
    <w:rsid w:val="000934FB"/>
    <w:rsid w:val="000A25F5"/>
    <w:rsid w:val="000A33CD"/>
    <w:rsid w:val="000A40B1"/>
    <w:rsid w:val="000A748C"/>
    <w:rsid w:val="000A755C"/>
    <w:rsid w:val="000B215B"/>
    <w:rsid w:val="000B3734"/>
    <w:rsid w:val="000C3A4B"/>
    <w:rsid w:val="000C7638"/>
    <w:rsid w:val="000D2C13"/>
    <w:rsid w:val="000D48B6"/>
    <w:rsid w:val="000D5E23"/>
    <w:rsid w:val="000E08E2"/>
    <w:rsid w:val="000E6E3C"/>
    <w:rsid w:val="000F3E5B"/>
    <w:rsid w:val="000F44D6"/>
    <w:rsid w:val="000F534B"/>
    <w:rsid w:val="0010030E"/>
    <w:rsid w:val="001025D3"/>
    <w:rsid w:val="001067C8"/>
    <w:rsid w:val="001109A8"/>
    <w:rsid w:val="00113D12"/>
    <w:rsid w:val="00114207"/>
    <w:rsid w:val="0012149B"/>
    <w:rsid w:val="001268C7"/>
    <w:rsid w:val="00127C1B"/>
    <w:rsid w:val="00133065"/>
    <w:rsid w:val="00155A8E"/>
    <w:rsid w:val="00156164"/>
    <w:rsid w:val="00160D57"/>
    <w:rsid w:val="001631A0"/>
    <w:rsid w:val="00170BB8"/>
    <w:rsid w:val="001724D0"/>
    <w:rsid w:val="00180B70"/>
    <w:rsid w:val="0018122C"/>
    <w:rsid w:val="001825CD"/>
    <w:rsid w:val="00183D99"/>
    <w:rsid w:val="001843BE"/>
    <w:rsid w:val="00187F70"/>
    <w:rsid w:val="0019115F"/>
    <w:rsid w:val="00194119"/>
    <w:rsid w:val="00194744"/>
    <w:rsid w:val="00194889"/>
    <w:rsid w:val="00196A56"/>
    <w:rsid w:val="001A28ED"/>
    <w:rsid w:val="001A3B28"/>
    <w:rsid w:val="001A40F7"/>
    <w:rsid w:val="001B006B"/>
    <w:rsid w:val="001B0B5B"/>
    <w:rsid w:val="001B28A1"/>
    <w:rsid w:val="001B2E80"/>
    <w:rsid w:val="001B52EE"/>
    <w:rsid w:val="001C75C9"/>
    <w:rsid w:val="001D01E9"/>
    <w:rsid w:val="001D6A9B"/>
    <w:rsid w:val="001E2D53"/>
    <w:rsid w:val="001E5EE3"/>
    <w:rsid w:val="001E6A3B"/>
    <w:rsid w:val="001E7250"/>
    <w:rsid w:val="001F0284"/>
    <w:rsid w:val="001F73FD"/>
    <w:rsid w:val="001F7BB4"/>
    <w:rsid w:val="00200972"/>
    <w:rsid w:val="002010B0"/>
    <w:rsid w:val="0020159C"/>
    <w:rsid w:val="00204434"/>
    <w:rsid w:val="00210A12"/>
    <w:rsid w:val="00210F05"/>
    <w:rsid w:val="00211112"/>
    <w:rsid w:val="00211F38"/>
    <w:rsid w:val="00220AE4"/>
    <w:rsid w:val="00224399"/>
    <w:rsid w:val="0022569F"/>
    <w:rsid w:val="00231590"/>
    <w:rsid w:val="00233AC8"/>
    <w:rsid w:val="002366A1"/>
    <w:rsid w:val="00241D17"/>
    <w:rsid w:val="00242766"/>
    <w:rsid w:val="00242DBB"/>
    <w:rsid w:val="00245BDA"/>
    <w:rsid w:val="002461AD"/>
    <w:rsid w:val="00250BA8"/>
    <w:rsid w:val="002570AB"/>
    <w:rsid w:val="00261500"/>
    <w:rsid w:val="002617C6"/>
    <w:rsid w:val="00262669"/>
    <w:rsid w:val="00264BC5"/>
    <w:rsid w:val="00271874"/>
    <w:rsid w:val="00272CAB"/>
    <w:rsid w:val="002768A3"/>
    <w:rsid w:val="00277134"/>
    <w:rsid w:val="0029038B"/>
    <w:rsid w:val="00295BF3"/>
    <w:rsid w:val="00296958"/>
    <w:rsid w:val="00297AD2"/>
    <w:rsid w:val="002A452D"/>
    <w:rsid w:val="002A6BE9"/>
    <w:rsid w:val="002B05B5"/>
    <w:rsid w:val="002B5DD0"/>
    <w:rsid w:val="002B7A21"/>
    <w:rsid w:val="002C4170"/>
    <w:rsid w:val="002C7BFE"/>
    <w:rsid w:val="002D418D"/>
    <w:rsid w:val="002D6015"/>
    <w:rsid w:val="002E6230"/>
    <w:rsid w:val="002F542A"/>
    <w:rsid w:val="002F5508"/>
    <w:rsid w:val="002F5A8B"/>
    <w:rsid w:val="002F6997"/>
    <w:rsid w:val="00300CB9"/>
    <w:rsid w:val="00300D04"/>
    <w:rsid w:val="00301655"/>
    <w:rsid w:val="00303464"/>
    <w:rsid w:val="00303C75"/>
    <w:rsid w:val="003043CF"/>
    <w:rsid w:val="00316380"/>
    <w:rsid w:val="00320438"/>
    <w:rsid w:val="0032198C"/>
    <w:rsid w:val="00324831"/>
    <w:rsid w:val="003332E5"/>
    <w:rsid w:val="003373D1"/>
    <w:rsid w:val="003439E4"/>
    <w:rsid w:val="00345367"/>
    <w:rsid w:val="00351577"/>
    <w:rsid w:val="00354030"/>
    <w:rsid w:val="00354CDF"/>
    <w:rsid w:val="00364725"/>
    <w:rsid w:val="00374767"/>
    <w:rsid w:val="003761AF"/>
    <w:rsid w:val="0038150D"/>
    <w:rsid w:val="00381841"/>
    <w:rsid w:val="00383042"/>
    <w:rsid w:val="00384225"/>
    <w:rsid w:val="00391439"/>
    <w:rsid w:val="00391730"/>
    <w:rsid w:val="00396A50"/>
    <w:rsid w:val="003A0B81"/>
    <w:rsid w:val="003A117E"/>
    <w:rsid w:val="003A251E"/>
    <w:rsid w:val="003A3A67"/>
    <w:rsid w:val="003B01DA"/>
    <w:rsid w:val="003B03C5"/>
    <w:rsid w:val="003B37D7"/>
    <w:rsid w:val="003B38C4"/>
    <w:rsid w:val="003C190B"/>
    <w:rsid w:val="003C23F7"/>
    <w:rsid w:val="003C566A"/>
    <w:rsid w:val="003D03FD"/>
    <w:rsid w:val="003D3BD2"/>
    <w:rsid w:val="003D5F29"/>
    <w:rsid w:val="003E0416"/>
    <w:rsid w:val="003E49F8"/>
    <w:rsid w:val="003F065C"/>
    <w:rsid w:val="003F168F"/>
    <w:rsid w:val="003F3F07"/>
    <w:rsid w:val="0040148A"/>
    <w:rsid w:val="004025FD"/>
    <w:rsid w:val="00404E54"/>
    <w:rsid w:val="00411C10"/>
    <w:rsid w:val="00415A5F"/>
    <w:rsid w:val="004162E0"/>
    <w:rsid w:val="00425244"/>
    <w:rsid w:val="004301FC"/>
    <w:rsid w:val="0043210E"/>
    <w:rsid w:val="004323F6"/>
    <w:rsid w:val="004328A8"/>
    <w:rsid w:val="00446731"/>
    <w:rsid w:val="0045375E"/>
    <w:rsid w:val="00457651"/>
    <w:rsid w:val="00457F70"/>
    <w:rsid w:val="00461426"/>
    <w:rsid w:val="00462728"/>
    <w:rsid w:val="00463C16"/>
    <w:rsid w:val="00467394"/>
    <w:rsid w:val="00471FD2"/>
    <w:rsid w:val="00480FEB"/>
    <w:rsid w:val="0048145C"/>
    <w:rsid w:val="00482630"/>
    <w:rsid w:val="00483BCF"/>
    <w:rsid w:val="004858E9"/>
    <w:rsid w:val="00485939"/>
    <w:rsid w:val="00487861"/>
    <w:rsid w:val="00491EB9"/>
    <w:rsid w:val="004934E0"/>
    <w:rsid w:val="0049621E"/>
    <w:rsid w:val="004A2A2E"/>
    <w:rsid w:val="004B0B62"/>
    <w:rsid w:val="004B1BA1"/>
    <w:rsid w:val="004C66F4"/>
    <w:rsid w:val="004D2BF0"/>
    <w:rsid w:val="004D5044"/>
    <w:rsid w:val="004D78E8"/>
    <w:rsid w:val="004D7DC5"/>
    <w:rsid w:val="004E121E"/>
    <w:rsid w:val="004E2B56"/>
    <w:rsid w:val="004F56AA"/>
    <w:rsid w:val="0051061A"/>
    <w:rsid w:val="0051141C"/>
    <w:rsid w:val="005122D2"/>
    <w:rsid w:val="00515436"/>
    <w:rsid w:val="00521CB9"/>
    <w:rsid w:val="00526849"/>
    <w:rsid w:val="00526C63"/>
    <w:rsid w:val="00534779"/>
    <w:rsid w:val="00541C4E"/>
    <w:rsid w:val="00556CA5"/>
    <w:rsid w:val="00563D4A"/>
    <w:rsid w:val="00566813"/>
    <w:rsid w:val="00566943"/>
    <w:rsid w:val="00572459"/>
    <w:rsid w:val="00575B32"/>
    <w:rsid w:val="005766F6"/>
    <w:rsid w:val="005846E0"/>
    <w:rsid w:val="0058741B"/>
    <w:rsid w:val="0059307D"/>
    <w:rsid w:val="005939D1"/>
    <w:rsid w:val="00594576"/>
    <w:rsid w:val="00595521"/>
    <w:rsid w:val="005A2BDC"/>
    <w:rsid w:val="005A4FE1"/>
    <w:rsid w:val="005A5698"/>
    <w:rsid w:val="005A58C6"/>
    <w:rsid w:val="005A76F4"/>
    <w:rsid w:val="005C2594"/>
    <w:rsid w:val="005C56D7"/>
    <w:rsid w:val="005C7336"/>
    <w:rsid w:val="005D7669"/>
    <w:rsid w:val="005E29B2"/>
    <w:rsid w:val="005E4732"/>
    <w:rsid w:val="005E4DEA"/>
    <w:rsid w:val="005F001A"/>
    <w:rsid w:val="00607280"/>
    <w:rsid w:val="006120A5"/>
    <w:rsid w:val="00612D7E"/>
    <w:rsid w:val="00613DFB"/>
    <w:rsid w:val="0061483F"/>
    <w:rsid w:val="006162C8"/>
    <w:rsid w:val="00617686"/>
    <w:rsid w:val="0062335E"/>
    <w:rsid w:val="00623614"/>
    <w:rsid w:val="006276D1"/>
    <w:rsid w:val="00633D7B"/>
    <w:rsid w:val="00636837"/>
    <w:rsid w:val="00645FC8"/>
    <w:rsid w:val="006519AF"/>
    <w:rsid w:val="006534B9"/>
    <w:rsid w:val="00654857"/>
    <w:rsid w:val="006645CE"/>
    <w:rsid w:val="00667CC9"/>
    <w:rsid w:val="00667F91"/>
    <w:rsid w:val="00690135"/>
    <w:rsid w:val="00692C31"/>
    <w:rsid w:val="00695930"/>
    <w:rsid w:val="00696B31"/>
    <w:rsid w:val="006A2D89"/>
    <w:rsid w:val="006A5026"/>
    <w:rsid w:val="006A71D4"/>
    <w:rsid w:val="006B065F"/>
    <w:rsid w:val="006B19EB"/>
    <w:rsid w:val="006B4902"/>
    <w:rsid w:val="006B5636"/>
    <w:rsid w:val="006B7972"/>
    <w:rsid w:val="006C483E"/>
    <w:rsid w:val="006C4AF7"/>
    <w:rsid w:val="006D3F8B"/>
    <w:rsid w:val="006D42B5"/>
    <w:rsid w:val="006D78A0"/>
    <w:rsid w:val="006E2704"/>
    <w:rsid w:val="006E5054"/>
    <w:rsid w:val="006E657B"/>
    <w:rsid w:val="006E74C6"/>
    <w:rsid w:val="006F1E01"/>
    <w:rsid w:val="006F31E5"/>
    <w:rsid w:val="006F3BFD"/>
    <w:rsid w:val="006F6315"/>
    <w:rsid w:val="006F7EC1"/>
    <w:rsid w:val="00700162"/>
    <w:rsid w:val="0070171B"/>
    <w:rsid w:val="00701BCB"/>
    <w:rsid w:val="00702542"/>
    <w:rsid w:val="0071725E"/>
    <w:rsid w:val="00717D2F"/>
    <w:rsid w:val="00724577"/>
    <w:rsid w:val="00725962"/>
    <w:rsid w:val="00725F19"/>
    <w:rsid w:val="00726A88"/>
    <w:rsid w:val="00726EEB"/>
    <w:rsid w:val="0073222E"/>
    <w:rsid w:val="0073254B"/>
    <w:rsid w:val="00737570"/>
    <w:rsid w:val="00741CC6"/>
    <w:rsid w:val="007442A6"/>
    <w:rsid w:val="007461A5"/>
    <w:rsid w:val="00751FCF"/>
    <w:rsid w:val="00752050"/>
    <w:rsid w:val="00753C59"/>
    <w:rsid w:val="00761B86"/>
    <w:rsid w:val="00764125"/>
    <w:rsid w:val="007706ED"/>
    <w:rsid w:val="00773135"/>
    <w:rsid w:val="00776417"/>
    <w:rsid w:val="00777275"/>
    <w:rsid w:val="00777651"/>
    <w:rsid w:val="00781AA4"/>
    <w:rsid w:val="00781C13"/>
    <w:rsid w:val="0078263F"/>
    <w:rsid w:val="007829E9"/>
    <w:rsid w:val="00784CEE"/>
    <w:rsid w:val="00787836"/>
    <w:rsid w:val="00791282"/>
    <w:rsid w:val="00793245"/>
    <w:rsid w:val="007942E3"/>
    <w:rsid w:val="00797653"/>
    <w:rsid w:val="007A053E"/>
    <w:rsid w:val="007A1484"/>
    <w:rsid w:val="007A1FC6"/>
    <w:rsid w:val="007A5491"/>
    <w:rsid w:val="007A6DC4"/>
    <w:rsid w:val="007B0613"/>
    <w:rsid w:val="007C1DAA"/>
    <w:rsid w:val="007C2354"/>
    <w:rsid w:val="007C2F05"/>
    <w:rsid w:val="007C5452"/>
    <w:rsid w:val="007D5FDD"/>
    <w:rsid w:val="007E17F0"/>
    <w:rsid w:val="007E1FCA"/>
    <w:rsid w:val="007E31CD"/>
    <w:rsid w:val="007E6724"/>
    <w:rsid w:val="007F6CB1"/>
    <w:rsid w:val="007F7C96"/>
    <w:rsid w:val="00800FA0"/>
    <w:rsid w:val="00802463"/>
    <w:rsid w:val="00802CC8"/>
    <w:rsid w:val="008114B2"/>
    <w:rsid w:val="00812B07"/>
    <w:rsid w:val="00815345"/>
    <w:rsid w:val="008342FD"/>
    <w:rsid w:val="008359C9"/>
    <w:rsid w:val="008367F6"/>
    <w:rsid w:val="00843BE1"/>
    <w:rsid w:val="00845D3F"/>
    <w:rsid w:val="008520C7"/>
    <w:rsid w:val="00854624"/>
    <w:rsid w:val="00855229"/>
    <w:rsid w:val="008621A8"/>
    <w:rsid w:val="0086300D"/>
    <w:rsid w:val="008631A8"/>
    <w:rsid w:val="00864491"/>
    <w:rsid w:val="008647EA"/>
    <w:rsid w:val="0087191D"/>
    <w:rsid w:val="00872C0C"/>
    <w:rsid w:val="00875032"/>
    <w:rsid w:val="00877F5D"/>
    <w:rsid w:val="008867E6"/>
    <w:rsid w:val="00890B36"/>
    <w:rsid w:val="008944FA"/>
    <w:rsid w:val="00897933"/>
    <w:rsid w:val="008A1DD8"/>
    <w:rsid w:val="008A4D9A"/>
    <w:rsid w:val="008A7FF1"/>
    <w:rsid w:val="008B1C3E"/>
    <w:rsid w:val="008B2FA2"/>
    <w:rsid w:val="008B7F4F"/>
    <w:rsid w:val="008D05F2"/>
    <w:rsid w:val="008E4195"/>
    <w:rsid w:val="008E4E8D"/>
    <w:rsid w:val="008F00FF"/>
    <w:rsid w:val="008F3D93"/>
    <w:rsid w:val="008F5378"/>
    <w:rsid w:val="008F6CA6"/>
    <w:rsid w:val="00905703"/>
    <w:rsid w:val="00912B95"/>
    <w:rsid w:val="00912CE6"/>
    <w:rsid w:val="009150F6"/>
    <w:rsid w:val="00916ACB"/>
    <w:rsid w:val="00925EBB"/>
    <w:rsid w:val="00926078"/>
    <w:rsid w:val="00933DB5"/>
    <w:rsid w:val="00937DEA"/>
    <w:rsid w:val="009465DE"/>
    <w:rsid w:val="00946A3F"/>
    <w:rsid w:val="00947326"/>
    <w:rsid w:val="009508B7"/>
    <w:rsid w:val="00950E22"/>
    <w:rsid w:val="0095342B"/>
    <w:rsid w:val="0095645C"/>
    <w:rsid w:val="00963546"/>
    <w:rsid w:val="00966211"/>
    <w:rsid w:val="00966BEE"/>
    <w:rsid w:val="00971194"/>
    <w:rsid w:val="00972E7B"/>
    <w:rsid w:val="00974A12"/>
    <w:rsid w:val="00977F7B"/>
    <w:rsid w:val="009802BD"/>
    <w:rsid w:val="00984845"/>
    <w:rsid w:val="00990B0E"/>
    <w:rsid w:val="00995833"/>
    <w:rsid w:val="00996208"/>
    <w:rsid w:val="00997868"/>
    <w:rsid w:val="009A1C66"/>
    <w:rsid w:val="009A755F"/>
    <w:rsid w:val="009B47B2"/>
    <w:rsid w:val="009C0B14"/>
    <w:rsid w:val="009C3AFF"/>
    <w:rsid w:val="009C7CB3"/>
    <w:rsid w:val="009C7E92"/>
    <w:rsid w:val="009D3F9D"/>
    <w:rsid w:val="009D673D"/>
    <w:rsid w:val="009D77CF"/>
    <w:rsid w:val="009E17F0"/>
    <w:rsid w:val="009E5A09"/>
    <w:rsid w:val="009E68B0"/>
    <w:rsid w:val="009E6DB8"/>
    <w:rsid w:val="009E7105"/>
    <w:rsid w:val="009F1E74"/>
    <w:rsid w:val="00A0398D"/>
    <w:rsid w:val="00A049CA"/>
    <w:rsid w:val="00A06C52"/>
    <w:rsid w:val="00A07E7C"/>
    <w:rsid w:val="00A102C8"/>
    <w:rsid w:val="00A150D4"/>
    <w:rsid w:val="00A3051D"/>
    <w:rsid w:val="00A330BF"/>
    <w:rsid w:val="00A5352F"/>
    <w:rsid w:val="00A57501"/>
    <w:rsid w:val="00A619E0"/>
    <w:rsid w:val="00A64644"/>
    <w:rsid w:val="00A65388"/>
    <w:rsid w:val="00A65F6A"/>
    <w:rsid w:val="00A72708"/>
    <w:rsid w:val="00A753A6"/>
    <w:rsid w:val="00A75E7E"/>
    <w:rsid w:val="00A80C66"/>
    <w:rsid w:val="00A8568F"/>
    <w:rsid w:val="00A871C9"/>
    <w:rsid w:val="00A876AE"/>
    <w:rsid w:val="00AA3884"/>
    <w:rsid w:val="00AD1D27"/>
    <w:rsid w:val="00AD1DF2"/>
    <w:rsid w:val="00AD5E0F"/>
    <w:rsid w:val="00AD64A4"/>
    <w:rsid w:val="00AE30BB"/>
    <w:rsid w:val="00AF1601"/>
    <w:rsid w:val="00AF3111"/>
    <w:rsid w:val="00B04CC4"/>
    <w:rsid w:val="00B17B60"/>
    <w:rsid w:val="00B24670"/>
    <w:rsid w:val="00B26443"/>
    <w:rsid w:val="00B26593"/>
    <w:rsid w:val="00B3146C"/>
    <w:rsid w:val="00B41457"/>
    <w:rsid w:val="00B420F9"/>
    <w:rsid w:val="00B47AAE"/>
    <w:rsid w:val="00B506EE"/>
    <w:rsid w:val="00B51760"/>
    <w:rsid w:val="00B53FCD"/>
    <w:rsid w:val="00B71B99"/>
    <w:rsid w:val="00B71F13"/>
    <w:rsid w:val="00B73536"/>
    <w:rsid w:val="00B74489"/>
    <w:rsid w:val="00B80958"/>
    <w:rsid w:val="00B8353F"/>
    <w:rsid w:val="00B84DB3"/>
    <w:rsid w:val="00B865D7"/>
    <w:rsid w:val="00B87964"/>
    <w:rsid w:val="00B9429F"/>
    <w:rsid w:val="00B94F3A"/>
    <w:rsid w:val="00B95CE8"/>
    <w:rsid w:val="00B96F3D"/>
    <w:rsid w:val="00B97098"/>
    <w:rsid w:val="00BA277A"/>
    <w:rsid w:val="00BA7328"/>
    <w:rsid w:val="00BB1B88"/>
    <w:rsid w:val="00BB2D0F"/>
    <w:rsid w:val="00BC2978"/>
    <w:rsid w:val="00BC3C52"/>
    <w:rsid w:val="00BD2663"/>
    <w:rsid w:val="00BD35E6"/>
    <w:rsid w:val="00BF266F"/>
    <w:rsid w:val="00C039AB"/>
    <w:rsid w:val="00C03F37"/>
    <w:rsid w:val="00C07CBD"/>
    <w:rsid w:val="00C145DF"/>
    <w:rsid w:val="00C171C7"/>
    <w:rsid w:val="00C21247"/>
    <w:rsid w:val="00C26569"/>
    <w:rsid w:val="00C277D9"/>
    <w:rsid w:val="00C31B8C"/>
    <w:rsid w:val="00C32FAF"/>
    <w:rsid w:val="00C340B8"/>
    <w:rsid w:val="00C34951"/>
    <w:rsid w:val="00C35D41"/>
    <w:rsid w:val="00C37795"/>
    <w:rsid w:val="00C37A53"/>
    <w:rsid w:val="00C439AA"/>
    <w:rsid w:val="00C451F8"/>
    <w:rsid w:val="00C47908"/>
    <w:rsid w:val="00C5031C"/>
    <w:rsid w:val="00C61708"/>
    <w:rsid w:val="00C708D4"/>
    <w:rsid w:val="00C74B2A"/>
    <w:rsid w:val="00C76E9C"/>
    <w:rsid w:val="00C85E0D"/>
    <w:rsid w:val="00C93673"/>
    <w:rsid w:val="00C95835"/>
    <w:rsid w:val="00C97BE9"/>
    <w:rsid w:val="00CA06B4"/>
    <w:rsid w:val="00CA33F7"/>
    <w:rsid w:val="00CA40D6"/>
    <w:rsid w:val="00CB0E6C"/>
    <w:rsid w:val="00CB10C6"/>
    <w:rsid w:val="00CB437E"/>
    <w:rsid w:val="00CC1505"/>
    <w:rsid w:val="00CC20C4"/>
    <w:rsid w:val="00CC37F8"/>
    <w:rsid w:val="00CD0CFE"/>
    <w:rsid w:val="00CD6E64"/>
    <w:rsid w:val="00CE072C"/>
    <w:rsid w:val="00CE0D13"/>
    <w:rsid w:val="00CE2C22"/>
    <w:rsid w:val="00CF2260"/>
    <w:rsid w:val="00CF3FE7"/>
    <w:rsid w:val="00CF6295"/>
    <w:rsid w:val="00CF6A81"/>
    <w:rsid w:val="00D02756"/>
    <w:rsid w:val="00D2277E"/>
    <w:rsid w:val="00D30ADF"/>
    <w:rsid w:val="00D31981"/>
    <w:rsid w:val="00D31B6B"/>
    <w:rsid w:val="00D338E9"/>
    <w:rsid w:val="00D34E56"/>
    <w:rsid w:val="00D35792"/>
    <w:rsid w:val="00D43B7D"/>
    <w:rsid w:val="00D51399"/>
    <w:rsid w:val="00D5264E"/>
    <w:rsid w:val="00D53155"/>
    <w:rsid w:val="00D534C9"/>
    <w:rsid w:val="00D539B2"/>
    <w:rsid w:val="00D60064"/>
    <w:rsid w:val="00D705D3"/>
    <w:rsid w:val="00D8561B"/>
    <w:rsid w:val="00D86D68"/>
    <w:rsid w:val="00D90EF8"/>
    <w:rsid w:val="00D976B5"/>
    <w:rsid w:val="00DA2F21"/>
    <w:rsid w:val="00DA3021"/>
    <w:rsid w:val="00DB5414"/>
    <w:rsid w:val="00DB5566"/>
    <w:rsid w:val="00DB746D"/>
    <w:rsid w:val="00DC2E94"/>
    <w:rsid w:val="00DC4882"/>
    <w:rsid w:val="00DC6C69"/>
    <w:rsid w:val="00DD1A2E"/>
    <w:rsid w:val="00DD1FA6"/>
    <w:rsid w:val="00DD2B65"/>
    <w:rsid w:val="00DD5CF0"/>
    <w:rsid w:val="00DE1DEB"/>
    <w:rsid w:val="00DE6540"/>
    <w:rsid w:val="00DF4898"/>
    <w:rsid w:val="00E00D0A"/>
    <w:rsid w:val="00E07835"/>
    <w:rsid w:val="00E10A36"/>
    <w:rsid w:val="00E151D5"/>
    <w:rsid w:val="00E25CF7"/>
    <w:rsid w:val="00E26D2D"/>
    <w:rsid w:val="00E27950"/>
    <w:rsid w:val="00E3101A"/>
    <w:rsid w:val="00E33F6E"/>
    <w:rsid w:val="00E34916"/>
    <w:rsid w:val="00E34EE7"/>
    <w:rsid w:val="00E4055E"/>
    <w:rsid w:val="00E4250B"/>
    <w:rsid w:val="00E47B47"/>
    <w:rsid w:val="00E519C9"/>
    <w:rsid w:val="00E609BC"/>
    <w:rsid w:val="00E66912"/>
    <w:rsid w:val="00E716FA"/>
    <w:rsid w:val="00E77F25"/>
    <w:rsid w:val="00E80B25"/>
    <w:rsid w:val="00E81508"/>
    <w:rsid w:val="00E83DF4"/>
    <w:rsid w:val="00E86E1B"/>
    <w:rsid w:val="00E913BB"/>
    <w:rsid w:val="00E941D3"/>
    <w:rsid w:val="00E96314"/>
    <w:rsid w:val="00EA1D84"/>
    <w:rsid w:val="00EA543E"/>
    <w:rsid w:val="00EB12CB"/>
    <w:rsid w:val="00EB2C0F"/>
    <w:rsid w:val="00EC0B33"/>
    <w:rsid w:val="00EC18F5"/>
    <w:rsid w:val="00EC1BAE"/>
    <w:rsid w:val="00EC3560"/>
    <w:rsid w:val="00EC3E48"/>
    <w:rsid w:val="00EC47F3"/>
    <w:rsid w:val="00EC5F32"/>
    <w:rsid w:val="00ED035F"/>
    <w:rsid w:val="00EE4F71"/>
    <w:rsid w:val="00F05283"/>
    <w:rsid w:val="00F11568"/>
    <w:rsid w:val="00F15C0F"/>
    <w:rsid w:val="00F178E6"/>
    <w:rsid w:val="00F2193F"/>
    <w:rsid w:val="00F22495"/>
    <w:rsid w:val="00F2683D"/>
    <w:rsid w:val="00F30971"/>
    <w:rsid w:val="00F3573D"/>
    <w:rsid w:val="00F4119A"/>
    <w:rsid w:val="00F45493"/>
    <w:rsid w:val="00F51074"/>
    <w:rsid w:val="00F6111C"/>
    <w:rsid w:val="00F70B8C"/>
    <w:rsid w:val="00F73D87"/>
    <w:rsid w:val="00F75633"/>
    <w:rsid w:val="00F775CA"/>
    <w:rsid w:val="00F8566D"/>
    <w:rsid w:val="00F91119"/>
    <w:rsid w:val="00F9156C"/>
    <w:rsid w:val="00F91F6C"/>
    <w:rsid w:val="00F96EB1"/>
    <w:rsid w:val="00FA2365"/>
    <w:rsid w:val="00FA27D1"/>
    <w:rsid w:val="00FA7557"/>
    <w:rsid w:val="00FB40DB"/>
    <w:rsid w:val="00FB5241"/>
    <w:rsid w:val="00FC064E"/>
    <w:rsid w:val="00FC2357"/>
    <w:rsid w:val="00FC46C2"/>
    <w:rsid w:val="00FD2AEF"/>
    <w:rsid w:val="00FD325F"/>
    <w:rsid w:val="00FD51B6"/>
    <w:rsid w:val="00FD7152"/>
    <w:rsid w:val="00FE03C4"/>
    <w:rsid w:val="00FE15A9"/>
    <w:rsid w:val="00FE473D"/>
    <w:rsid w:val="00FE495E"/>
    <w:rsid w:val="00FF0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F7"/>
    <w:rPr>
      <w:rFonts w:ascii="Garamond" w:hAnsi="Garamond"/>
      <w:sz w:val="24"/>
      <w:szCs w:val="24"/>
    </w:rPr>
  </w:style>
  <w:style w:type="paragraph" w:styleId="Heading1">
    <w:name w:val="heading 1"/>
    <w:basedOn w:val="Normal"/>
    <w:next w:val="Normal"/>
    <w:link w:val="Heading1Char"/>
    <w:qFormat/>
    <w:rsid w:val="007E31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4EE7"/>
    <w:pPr>
      <w:widowControl w:val="0"/>
      <w:tabs>
        <w:tab w:val="center" w:pos="4320"/>
        <w:tab w:val="right" w:pos="8640"/>
      </w:tabs>
      <w:autoSpaceDE w:val="0"/>
      <w:autoSpaceDN w:val="0"/>
      <w:adjustRightInd w:val="0"/>
    </w:pPr>
    <w:rPr>
      <w:rFonts w:ascii="Times New Roman" w:hAnsi="Times New Roman"/>
    </w:rPr>
  </w:style>
  <w:style w:type="paragraph" w:styleId="Footer">
    <w:name w:val="footer"/>
    <w:basedOn w:val="Normal"/>
    <w:link w:val="FooterChar"/>
    <w:uiPriority w:val="99"/>
    <w:rsid w:val="00E34EE7"/>
    <w:pPr>
      <w:widowControl w:val="0"/>
      <w:tabs>
        <w:tab w:val="center" w:pos="4320"/>
        <w:tab w:val="right" w:pos="8640"/>
      </w:tabs>
      <w:autoSpaceDE w:val="0"/>
      <w:autoSpaceDN w:val="0"/>
      <w:adjustRightInd w:val="0"/>
    </w:pPr>
    <w:rPr>
      <w:rFonts w:ascii="Times New Roman" w:hAnsi="Times New Roman"/>
    </w:rPr>
  </w:style>
  <w:style w:type="paragraph" w:customStyle="1" w:styleId="StyleFirstline010">
    <w:name w:val="Style First line:  0.10&quot;"/>
    <w:basedOn w:val="Normal"/>
    <w:next w:val="Normal"/>
    <w:rsid w:val="00384225"/>
    <w:pPr>
      <w:widowControl w:val="0"/>
      <w:autoSpaceDE w:val="0"/>
      <w:autoSpaceDN w:val="0"/>
      <w:adjustRightInd w:val="0"/>
      <w:ind w:firstLine="180"/>
    </w:pPr>
    <w:rPr>
      <w:rFonts w:ascii="Times New Roman" w:hAnsi="Times New Roman"/>
      <w:sz w:val="22"/>
      <w:szCs w:val="20"/>
    </w:rPr>
  </w:style>
  <w:style w:type="paragraph" w:styleId="BodyTextIndent">
    <w:name w:val="Body Text Indent"/>
    <w:basedOn w:val="Normal"/>
    <w:rsid w:val="00526849"/>
    <w:pPr>
      <w:widowControl w:val="0"/>
      <w:autoSpaceDE w:val="0"/>
      <w:autoSpaceDN w:val="0"/>
      <w:adjustRightInd w:val="0"/>
      <w:ind w:firstLine="720"/>
    </w:pPr>
    <w:rPr>
      <w:rFonts w:ascii="Times New Roman" w:hAnsi="Times New Roman"/>
      <w:szCs w:val="20"/>
    </w:rPr>
  </w:style>
  <w:style w:type="character" w:styleId="FollowedHyperlink">
    <w:name w:val="FollowedHyperlink"/>
    <w:rsid w:val="00DC4882"/>
    <w:rPr>
      <w:color w:val="800080"/>
      <w:u w:val="single"/>
    </w:rPr>
  </w:style>
  <w:style w:type="character" w:customStyle="1" w:styleId="sspringfield">
    <w:name w:val="sspringfield"/>
    <w:semiHidden/>
    <w:rsid w:val="006F3BFD"/>
    <w:rPr>
      <w:rFonts w:ascii="Arial" w:hAnsi="Arial" w:cs="Arial"/>
      <w:color w:val="000080"/>
      <w:sz w:val="20"/>
      <w:szCs w:val="20"/>
    </w:rPr>
  </w:style>
  <w:style w:type="character" w:styleId="Hyperlink">
    <w:name w:val="Hyperlink"/>
    <w:uiPriority w:val="99"/>
    <w:rsid w:val="00AF3111"/>
    <w:rPr>
      <w:color w:val="0000FF"/>
      <w:u w:val="single"/>
    </w:rPr>
  </w:style>
  <w:style w:type="paragraph" w:styleId="NormalWeb">
    <w:name w:val="Normal (Web)"/>
    <w:basedOn w:val="Normal"/>
    <w:rsid w:val="00415A5F"/>
    <w:pPr>
      <w:widowControl w:val="0"/>
      <w:autoSpaceDE w:val="0"/>
      <w:autoSpaceDN w:val="0"/>
      <w:adjustRightInd w:val="0"/>
      <w:spacing w:before="100" w:beforeAutospacing="1" w:after="100" w:afterAutospacing="1"/>
    </w:pPr>
    <w:rPr>
      <w:rFonts w:ascii="Times New Roman" w:hAnsi="Times New Roman"/>
    </w:rPr>
  </w:style>
  <w:style w:type="table" w:styleId="TableGrid">
    <w:name w:val="Table Grid"/>
    <w:basedOn w:val="TableNormal"/>
    <w:rsid w:val="00B7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254B"/>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rsid w:val="0073254B"/>
    <w:rPr>
      <w:rFonts w:ascii="Tahoma" w:hAnsi="Tahoma" w:cs="Tahoma"/>
      <w:sz w:val="16"/>
      <w:szCs w:val="16"/>
    </w:rPr>
  </w:style>
  <w:style w:type="paragraph" w:styleId="FootnoteText">
    <w:name w:val="footnote text"/>
    <w:basedOn w:val="Normal"/>
    <w:link w:val="FootnoteTextChar"/>
    <w:rsid w:val="00696B31"/>
    <w:pPr>
      <w:widowControl w:val="0"/>
      <w:autoSpaceDE w:val="0"/>
      <w:autoSpaceDN w:val="0"/>
      <w:adjustRightInd w:val="0"/>
    </w:pPr>
    <w:rPr>
      <w:rFonts w:ascii="Times New Roman" w:hAnsi="Times New Roman"/>
      <w:sz w:val="20"/>
      <w:szCs w:val="20"/>
    </w:rPr>
  </w:style>
  <w:style w:type="character" w:customStyle="1" w:styleId="FootnoteTextChar">
    <w:name w:val="Footnote Text Char"/>
    <w:basedOn w:val="DefaultParagraphFont"/>
    <w:link w:val="FootnoteText"/>
    <w:rsid w:val="00696B31"/>
    <w:rPr>
      <w:rFonts w:ascii="Garamond" w:hAnsi="Garamond"/>
    </w:rPr>
  </w:style>
  <w:style w:type="character" w:styleId="FootnoteReference">
    <w:name w:val="footnote reference"/>
    <w:basedOn w:val="DefaultParagraphFont"/>
    <w:rsid w:val="00696B31"/>
    <w:rPr>
      <w:vertAlign w:val="superscript"/>
    </w:rPr>
  </w:style>
  <w:style w:type="paragraph" w:customStyle="1" w:styleId="Default">
    <w:name w:val="Default"/>
    <w:rsid w:val="00DB746D"/>
    <w:pPr>
      <w:widowControl w:val="0"/>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491EB9"/>
    <w:rPr>
      <w:rFonts w:eastAsia="Times New Roman"/>
      <w:sz w:val="24"/>
      <w:szCs w:val="24"/>
    </w:rPr>
  </w:style>
  <w:style w:type="character" w:customStyle="1" w:styleId="FooterChar">
    <w:name w:val="Footer Char"/>
    <w:basedOn w:val="DefaultParagraphFont"/>
    <w:link w:val="Footer"/>
    <w:uiPriority w:val="99"/>
    <w:rsid w:val="00491EB9"/>
    <w:rPr>
      <w:rFonts w:eastAsia="Times New Roman"/>
      <w:sz w:val="24"/>
      <w:szCs w:val="24"/>
    </w:rPr>
  </w:style>
  <w:style w:type="paragraph" w:customStyle="1" w:styleId="Pa2">
    <w:name w:val="Pa2"/>
    <w:basedOn w:val="Normal"/>
    <w:next w:val="Normal"/>
    <w:uiPriority w:val="99"/>
    <w:rsid w:val="00613DFB"/>
    <w:pPr>
      <w:autoSpaceDE w:val="0"/>
      <w:autoSpaceDN w:val="0"/>
      <w:adjustRightInd w:val="0"/>
      <w:spacing w:line="241" w:lineRule="atLeast"/>
    </w:pPr>
    <w:rPr>
      <w:rFonts w:ascii="CPHKA O+ Bell Gothic Std" w:hAnsi="CPHKA O+ Bell Gothic Std"/>
    </w:rPr>
  </w:style>
  <w:style w:type="paragraph" w:styleId="ListParagraph">
    <w:name w:val="List Paragraph"/>
    <w:basedOn w:val="Normal"/>
    <w:uiPriority w:val="34"/>
    <w:qFormat/>
    <w:rsid w:val="00DD5CF0"/>
    <w:pPr>
      <w:ind w:left="720"/>
      <w:contextualSpacing/>
    </w:pPr>
  </w:style>
  <w:style w:type="character" w:styleId="CommentReference">
    <w:name w:val="annotation reference"/>
    <w:basedOn w:val="DefaultParagraphFont"/>
    <w:semiHidden/>
    <w:unhideWhenUsed/>
    <w:rsid w:val="009F1E74"/>
    <w:rPr>
      <w:sz w:val="16"/>
      <w:szCs w:val="16"/>
    </w:rPr>
  </w:style>
  <w:style w:type="paragraph" w:styleId="CommentText">
    <w:name w:val="annotation text"/>
    <w:basedOn w:val="Normal"/>
    <w:link w:val="CommentTextChar"/>
    <w:semiHidden/>
    <w:unhideWhenUsed/>
    <w:rsid w:val="009F1E74"/>
    <w:rPr>
      <w:sz w:val="20"/>
      <w:szCs w:val="20"/>
    </w:rPr>
  </w:style>
  <w:style w:type="character" w:customStyle="1" w:styleId="CommentTextChar">
    <w:name w:val="Comment Text Char"/>
    <w:basedOn w:val="DefaultParagraphFont"/>
    <w:link w:val="CommentText"/>
    <w:semiHidden/>
    <w:rsid w:val="009F1E74"/>
    <w:rPr>
      <w:rFonts w:ascii="Garamond" w:hAnsi="Garamond"/>
    </w:rPr>
  </w:style>
  <w:style w:type="paragraph" w:styleId="CommentSubject">
    <w:name w:val="annotation subject"/>
    <w:basedOn w:val="CommentText"/>
    <w:next w:val="CommentText"/>
    <w:link w:val="CommentSubjectChar"/>
    <w:semiHidden/>
    <w:unhideWhenUsed/>
    <w:rsid w:val="009F1E74"/>
    <w:rPr>
      <w:b/>
      <w:bCs/>
    </w:rPr>
  </w:style>
  <w:style w:type="character" w:customStyle="1" w:styleId="CommentSubjectChar">
    <w:name w:val="Comment Subject Char"/>
    <w:basedOn w:val="CommentTextChar"/>
    <w:link w:val="CommentSubject"/>
    <w:semiHidden/>
    <w:rsid w:val="009F1E74"/>
    <w:rPr>
      <w:rFonts w:ascii="Garamond" w:hAnsi="Garamond"/>
      <w:b/>
      <w:bCs/>
    </w:rPr>
  </w:style>
  <w:style w:type="paragraph" w:styleId="Title">
    <w:name w:val="Title"/>
    <w:basedOn w:val="Normal"/>
    <w:link w:val="TitleChar"/>
    <w:uiPriority w:val="10"/>
    <w:qFormat/>
    <w:rsid w:val="005C7336"/>
    <w:pPr>
      <w:spacing w:line="192" w:lineRule="auto"/>
    </w:pPr>
    <w:rPr>
      <w:rFonts w:asciiTheme="majorHAnsi" w:eastAsiaTheme="majorEastAsia" w:hAnsiTheme="majorHAnsi" w:cstheme="majorBidi"/>
      <w:b/>
      <w:bCs/>
      <w:caps/>
      <w:color w:val="1F497D" w:themeColor="text2"/>
      <w:kern w:val="28"/>
      <w:sz w:val="106"/>
      <w:szCs w:val="106"/>
      <w:lang w:eastAsia="ja-JP"/>
    </w:rPr>
  </w:style>
  <w:style w:type="character" w:customStyle="1" w:styleId="TitleChar">
    <w:name w:val="Title Char"/>
    <w:basedOn w:val="DefaultParagraphFont"/>
    <w:link w:val="Title"/>
    <w:uiPriority w:val="10"/>
    <w:rsid w:val="005C7336"/>
    <w:rPr>
      <w:rFonts w:asciiTheme="majorHAnsi" w:eastAsiaTheme="majorEastAsia" w:hAnsiTheme="majorHAnsi" w:cstheme="majorBidi"/>
      <w:b/>
      <w:bCs/>
      <w:caps/>
      <w:color w:val="1F497D" w:themeColor="text2"/>
      <w:kern w:val="28"/>
      <w:sz w:val="106"/>
      <w:szCs w:val="106"/>
      <w:lang w:eastAsia="ja-JP"/>
    </w:rPr>
  </w:style>
  <w:style w:type="character" w:customStyle="1" w:styleId="Heading1Char">
    <w:name w:val="Heading 1 Char"/>
    <w:basedOn w:val="DefaultParagraphFont"/>
    <w:link w:val="Heading1"/>
    <w:rsid w:val="007E31C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7E31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F7"/>
    <w:rPr>
      <w:rFonts w:ascii="Garamond" w:hAnsi="Garamond"/>
      <w:sz w:val="24"/>
      <w:szCs w:val="24"/>
    </w:rPr>
  </w:style>
  <w:style w:type="paragraph" w:styleId="Heading1">
    <w:name w:val="heading 1"/>
    <w:basedOn w:val="Normal"/>
    <w:next w:val="Normal"/>
    <w:link w:val="Heading1Char"/>
    <w:qFormat/>
    <w:rsid w:val="007E31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4EE7"/>
    <w:pPr>
      <w:widowControl w:val="0"/>
      <w:tabs>
        <w:tab w:val="center" w:pos="4320"/>
        <w:tab w:val="right" w:pos="8640"/>
      </w:tabs>
      <w:autoSpaceDE w:val="0"/>
      <w:autoSpaceDN w:val="0"/>
      <w:adjustRightInd w:val="0"/>
    </w:pPr>
    <w:rPr>
      <w:rFonts w:ascii="Times New Roman" w:hAnsi="Times New Roman"/>
    </w:rPr>
  </w:style>
  <w:style w:type="paragraph" w:styleId="Footer">
    <w:name w:val="footer"/>
    <w:basedOn w:val="Normal"/>
    <w:link w:val="FooterChar"/>
    <w:uiPriority w:val="99"/>
    <w:rsid w:val="00E34EE7"/>
    <w:pPr>
      <w:widowControl w:val="0"/>
      <w:tabs>
        <w:tab w:val="center" w:pos="4320"/>
        <w:tab w:val="right" w:pos="8640"/>
      </w:tabs>
      <w:autoSpaceDE w:val="0"/>
      <w:autoSpaceDN w:val="0"/>
      <w:adjustRightInd w:val="0"/>
    </w:pPr>
    <w:rPr>
      <w:rFonts w:ascii="Times New Roman" w:hAnsi="Times New Roman"/>
    </w:rPr>
  </w:style>
  <w:style w:type="paragraph" w:customStyle="1" w:styleId="StyleFirstline010">
    <w:name w:val="Style First line:  0.10&quot;"/>
    <w:basedOn w:val="Normal"/>
    <w:next w:val="Normal"/>
    <w:rsid w:val="00384225"/>
    <w:pPr>
      <w:widowControl w:val="0"/>
      <w:autoSpaceDE w:val="0"/>
      <w:autoSpaceDN w:val="0"/>
      <w:adjustRightInd w:val="0"/>
      <w:ind w:firstLine="180"/>
    </w:pPr>
    <w:rPr>
      <w:rFonts w:ascii="Times New Roman" w:hAnsi="Times New Roman"/>
      <w:sz w:val="22"/>
      <w:szCs w:val="20"/>
    </w:rPr>
  </w:style>
  <w:style w:type="paragraph" w:styleId="BodyTextIndent">
    <w:name w:val="Body Text Indent"/>
    <w:basedOn w:val="Normal"/>
    <w:rsid w:val="00526849"/>
    <w:pPr>
      <w:widowControl w:val="0"/>
      <w:autoSpaceDE w:val="0"/>
      <w:autoSpaceDN w:val="0"/>
      <w:adjustRightInd w:val="0"/>
      <w:ind w:firstLine="720"/>
    </w:pPr>
    <w:rPr>
      <w:rFonts w:ascii="Times New Roman" w:hAnsi="Times New Roman"/>
      <w:szCs w:val="20"/>
    </w:rPr>
  </w:style>
  <w:style w:type="character" w:styleId="FollowedHyperlink">
    <w:name w:val="FollowedHyperlink"/>
    <w:rsid w:val="00DC4882"/>
    <w:rPr>
      <w:color w:val="800080"/>
      <w:u w:val="single"/>
    </w:rPr>
  </w:style>
  <w:style w:type="character" w:customStyle="1" w:styleId="sspringfield">
    <w:name w:val="sspringfield"/>
    <w:semiHidden/>
    <w:rsid w:val="006F3BFD"/>
    <w:rPr>
      <w:rFonts w:ascii="Arial" w:hAnsi="Arial" w:cs="Arial"/>
      <w:color w:val="000080"/>
      <w:sz w:val="20"/>
      <w:szCs w:val="20"/>
    </w:rPr>
  </w:style>
  <w:style w:type="character" w:styleId="Hyperlink">
    <w:name w:val="Hyperlink"/>
    <w:uiPriority w:val="99"/>
    <w:rsid w:val="00AF3111"/>
    <w:rPr>
      <w:color w:val="0000FF"/>
      <w:u w:val="single"/>
    </w:rPr>
  </w:style>
  <w:style w:type="paragraph" w:styleId="NormalWeb">
    <w:name w:val="Normal (Web)"/>
    <w:basedOn w:val="Normal"/>
    <w:rsid w:val="00415A5F"/>
    <w:pPr>
      <w:widowControl w:val="0"/>
      <w:autoSpaceDE w:val="0"/>
      <w:autoSpaceDN w:val="0"/>
      <w:adjustRightInd w:val="0"/>
      <w:spacing w:before="100" w:beforeAutospacing="1" w:after="100" w:afterAutospacing="1"/>
    </w:pPr>
    <w:rPr>
      <w:rFonts w:ascii="Times New Roman" w:hAnsi="Times New Roman"/>
    </w:rPr>
  </w:style>
  <w:style w:type="table" w:styleId="TableGrid">
    <w:name w:val="Table Grid"/>
    <w:basedOn w:val="TableNormal"/>
    <w:rsid w:val="00B7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254B"/>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rsid w:val="0073254B"/>
    <w:rPr>
      <w:rFonts w:ascii="Tahoma" w:hAnsi="Tahoma" w:cs="Tahoma"/>
      <w:sz w:val="16"/>
      <w:szCs w:val="16"/>
    </w:rPr>
  </w:style>
  <w:style w:type="paragraph" w:styleId="FootnoteText">
    <w:name w:val="footnote text"/>
    <w:basedOn w:val="Normal"/>
    <w:link w:val="FootnoteTextChar"/>
    <w:rsid w:val="00696B31"/>
    <w:pPr>
      <w:widowControl w:val="0"/>
      <w:autoSpaceDE w:val="0"/>
      <w:autoSpaceDN w:val="0"/>
      <w:adjustRightInd w:val="0"/>
    </w:pPr>
    <w:rPr>
      <w:rFonts w:ascii="Times New Roman" w:hAnsi="Times New Roman"/>
      <w:sz w:val="20"/>
      <w:szCs w:val="20"/>
    </w:rPr>
  </w:style>
  <w:style w:type="character" w:customStyle="1" w:styleId="FootnoteTextChar">
    <w:name w:val="Footnote Text Char"/>
    <w:basedOn w:val="DefaultParagraphFont"/>
    <w:link w:val="FootnoteText"/>
    <w:rsid w:val="00696B31"/>
    <w:rPr>
      <w:rFonts w:ascii="Garamond" w:hAnsi="Garamond"/>
    </w:rPr>
  </w:style>
  <w:style w:type="character" w:styleId="FootnoteReference">
    <w:name w:val="footnote reference"/>
    <w:basedOn w:val="DefaultParagraphFont"/>
    <w:rsid w:val="00696B31"/>
    <w:rPr>
      <w:vertAlign w:val="superscript"/>
    </w:rPr>
  </w:style>
  <w:style w:type="paragraph" w:customStyle="1" w:styleId="Default">
    <w:name w:val="Default"/>
    <w:rsid w:val="00DB746D"/>
    <w:pPr>
      <w:widowControl w:val="0"/>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491EB9"/>
    <w:rPr>
      <w:rFonts w:eastAsia="Times New Roman"/>
      <w:sz w:val="24"/>
      <w:szCs w:val="24"/>
    </w:rPr>
  </w:style>
  <w:style w:type="character" w:customStyle="1" w:styleId="FooterChar">
    <w:name w:val="Footer Char"/>
    <w:basedOn w:val="DefaultParagraphFont"/>
    <w:link w:val="Footer"/>
    <w:uiPriority w:val="99"/>
    <w:rsid w:val="00491EB9"/>
    <w:rPr>
      <w:rFonts w:eastAsia="Times New Roman"/>
      <w:sz w:val="24"/>
      <w:szCs w:val="24"/>
    </w:rPr>
  </w:style>
  <w:style w:type="paragraph" w:customStyle="1" w:styleId="Pa2">
    <w:name w:val="Pa2"/>
    <w:basedOn w:val="Normal"/>
    <w:next w:val="Normal"/>
    <w:uiPriority w:val="99"/>
    <w:rsid w:val="00613DFB"/>
    <w:pPr>
      <w:autoSpaceDE w:val="0"/>
      <w:autoSpaceDN w:val="0"/>
      <w:adjustRightInd w:val="0"/>
      <w:spacing w:line="241" w:lineRule="atLeast"/>
    </w:pPr>
    <w:rPr>
      <w:rFonts w:ascii="CPHKA O+ Bell Gothic Std" w:hAnsi="CPHKA O+ Bell Gothic Std"/>
    </w:rPr>
  </w:style>
  <w:style w:type="paragraph" w:styleId="ListParagraph">
    <w:name w:val="List Paragraph"/>
    <w:basedOn w:val="Normal"/>
    <w:uiPriority w:val="34"/>
    <w:qFormat/>
    <w:rsid w:val="00DD5CF0"/>
    <w:pPr>
      <w:ind w:left="720"/>
      <w:contextualSpacing/>
    </w:pPr>
  </w:style>
  <w:style w:type="character" w:styleId="CommentReference">
    <w:name w:val="annotation reference"/>
    <w:basedOn w:val="DefaultParagraphFont"/>
    <w:semiHidden/>
    <w:unhideWhenUsed/>
    <w:rsid w:val="009F1E74"/>
    <w:rPr>
      <w:sz w:val="16"/>
      <w:szCs w:val="16"/>
    </w:rPr>
  </w:style>
  <w:style w:type="paragraph" w:styleId="CommentText">
    <w:name w:val="annotation text"/>
    <w:basedOn w:val="Normal"/>
    <w:link w:val="CommentTextChar"/>
    <w:semiHidden/>
    <w:unhideWhenUsed/>
    <w:rsid w:val="009F1E74"/>
    <w:rPr>
      <w:sz w:val="20"/>
      <w:szCs w:val="20"/>
    </w:rPr>
  </w:style>
  <w:style w:type="character" w:customStyle="1" w:styleId="CommentTextChar">
    <w:name w:val="Comment Text Char"/>
    <w:basedOn w:val="DefaultParagraphFont"/>
    <w:link w:val="CommentText"/>
    <w:semiHidden/>
    <w:rsid w:val="009F1E74"/>
    <w:rPr>
      <w:rFonts w:ascii="Garamond" w:hAnsi="Garamond"/>
    </w:rPr>
  </w:style>
  <w:style w:type="paragraph" w:styleId="CommentSubject">
    <w:name w:val="annotation subject"/>
    <w:basedOn w:val="CommentText"/>
    <w:next w:val="CommentText"/>
    <w:link w:val="CommentSubjectChar"/>
    <w:semiHidden/>
    <w:unhideWhenUsed/>
    <w:rsid w:val="009F1E74"/>
    <w:rPr>
      <w:b/>
      <w:bCs/>
    </w:rPr>
  </w:style>
  <w:style w:type="character" w:customStyle="1" w:styleId="CommentSubjectChar">
    <w:name w:val="Comment Subject Char"/>
    <w:basedOn w:val="CommentTextChar"/>
    <w:link w:val="CommentSubject"/>
    <w:semiHidden/>
    <w:rsid w:val="009F1E74"/>
    <w:rPr>
      <w:rFonts w:ascii="Garamond" w:hAnsi="Garamond"/>
      <w:b/>
      <w:bCs/>
    </w:rPr>
  </w:style>
  <w:style w:type="paragraph" w:styleId="Title">
    <w:name w:val="Title"/>
    <w:basedOn w:val="Normal"/>
    <w:link w:val="TitleChar"/>
    <w:uiPriority w:val="10"/>
    <w:qFormat/>
    <w:rsid w:val="005C7336"/>
    <w:pPr>
      <w:spacing w:line="192" w:lineRule="auto"/>
    </w:pPr>
    <w:rPr>
      <w:rFonts w:asciiTheme="majorHAnsi" w:eastAsiaTheme="majorEastAsia" w:hAnsiTheme="majorHAnsi" w:cstheme="majorBidi"/>
      <w:b/>
      <w:bCs/>
      <w:caps/>
      <w:color w:val="1F497D" w:themeColor="text2"/>
      <w:kern w:val="28"/>
      <w:sz w:val="106"/>
      <w:szCs w:val="106"/>
      <w:lang w:eastAsia="ja-JP"/>
    </w:rPr>
  </w:style>
  <w:style w:type="character" w:customStyle="1" w:styleId="TitleChar">
    <w:name w:val="Title Char"/>
    <w:basedOn w:val="DefaultParagraphFont"/>
    <w:link w:val="Title"/>
    <w:uiPriority w:val="10"/>
    <w:rsid w:val="005C7336"/>
    <w:rPr>
      <w:rFonts w:asciiTheme="majorHAnsi" w:eastAsiaTheme="majorEastAsia" w:hAnsiTheme="majorHAnsi" w:cstheme="majorBidi"/>
      <w:b/>
      <w:bCs/>
      <w:caps/>
      <w:color w:val="1F497D" w:themeColor="text2"/>
      <w:kern w:val="28"/>
      <w:sz w:val="106"/>
      <w:szCs w:val="106"/>
      <w:lang w:eastAsia="ja-JP"/>
    </w:rPr>
  </w:style>
  <w:style w:type="character" w:customStyle="1" w:styleId="Heading1Char">
    <w:name w:val="Heading 1 Char"/>
    <w:basedOn w:val="DefaultParagraphFont"/>
    <w:link w:val="Heading1"/>
    <w:rsid w:val="007E31C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7E31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899">
      <w:bodyDiv w:val="1"/>
      <w:marLeft w:val="0"/>
      <w:marRight w:val="0"/>
      <w:marTop w:val="0"/>
      <w:marBottom w:val="0"/>
      <w:divBdr>
        <w:top w:val="none" w:sz="0" w:space="0" w:color="auto"/>
        <w:left w:val="none" w:sz="0" w:space="0" w:color="auto"/>
        <w:bottom w:val="none" w:sz="0" w:space="0" w:color="auto"/>
        <w:right w:val="none" w:sz="0" w:space="0" w:color="auto"/>
      </w:divBdr>
    </w:div>
    <w:div w:id="1224870826">
      <w:bodyDiv w:val="1"/>
      <w:marLeft w:val="0"/>
      <w:marRight w:val="0"/>
      <w:marTop w:val="0"/>
      <w:marBottom w:val="0"/>
      <w:divBdr>
        <w:top w:val="none" w:sz="0" w:space="0" w:color="auto"/>
        <w:left w:val="none" w:sz="0" w:space="0" w:color="auto"/>
        <w:bottom w:val="none" w:sz="0" w:space="0" w:color="auto"/>
        <w:right w:val="none" w:sz="0" w:space="0" w:color="auto"/>
      </w:divBdr>
    </w:div>
    <w:div w:id="1225069240">
      <w:bodyDiv w:val="1"/>
      <w:marLeft w:val="0"/>
      <w:marRight w:val="0"/>
      <w:marTop w:val="0"/>
      <w:marBottom w:val="0"/>
      <w:divBdr>
        <w:top w:val="none" w:sz="0" w:space="0" w:color="auto"/>
        <w:left w:val="none" w:sz="0" w:space="0" w:color="auto"/>
        <w:bottom w:val="none" w:sz="0" w:space="0" w:color="auto"/>
        <w:right w:val="none" w:sz="0" w:space="0" w:color="auto"/>
      </w:divBdr>
    </w:div>
    <w:div w:id="1329870284">
      <w:bodyDiv w:val="1"/>
      <w:marLeft w:val="0"/>
      <w:marRight w:val="0"/>
      <w:marTop w:val="0"/>
      <w:marBottom w:val="0"/>
      <w:divBdr>
        <w:top w:val="none" w:sz="0" w:space="0" w:color="auto"/>
        <w:left w:val="none" w:sz="0" w:space="0" w:color="auto"/>
        <w:bottom w:val="none" w:sz="0" w:space="0" w:color="auto"/>
        <w:right w:val="none" w:sz="0" w:space="0" w:color="auto"/>
      </w:divBdr>
      <w:divsChild>
        <w:div w:id="1981424771">
          <w:marLeft w:val="0"/>
          <w:marRight w:val="0"/>
          <w:marTop w:val="0"/>
          <w:marBottom w:val="0"/>
          <w:divBdr>
            <w:top w:val="none" w:sz="0" w:space="0" w:color="auto"/>
            <w:left w:val="none" w:sz="0" w:space="0" w:color="auto"/>
            <w:bottom w:val="none" w:sz="0" w:space="0" w:color="auto"/>
            <w:right w:val="none" w:sz="0" w:space="0" w:color="auto"/>
          </w:divBdr>
        </w:div>
      </w:divsChild>
    </w:div>
    <w:div w:id="1498886873">
      <w:bodyDiv w:val="1"/>
      <w:marLeft w:val="0"/>
      <w:marRight w:val="0"/>
      <w:marTop w:val="0"/>
      <w:marBottom w:val="0"/>
      <w:divBdr>
        <w:top w:val="none" w:sz="0" w:space="0" w:color="auto"/>
        <w:left w:val="none" w:sz="0" w:space="0" w:color="auto"/>
        <w:bottom w:val="none" w:sz="0" w:space="0" w:color="auto"/>
        <w:right w:val="none" w:sz="0" w:space="0" w:color="auto"/>
      </w:divBdr>
    </w:div>
    <w:div w:id="1727298954">
      <w:bodyDiv w:val="1"/>
      <w:marLeft w:val="0"/>
      <w:marRight w:val="0"/>
      <w:marTop w:val="0"/>
      <w:marBottom w:val="0"/>
      <w:divBdr>
        <w:top w:val="none" w:sz="0" w:space="0" w:color="auto"/>
        <w:left w:val="none" w:sz="0" w:space="0" w:color="auto"/>
        <w:bottom w:val="none" w:sz="0" w:space="0" w:color="auto"/>
        <w:right w:val="none" w:sz="0" w:space="0" w:color="auto"/>
      </w:divBdr>
    </w:div>
    <w:div w:id="182912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tion@aje-d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je-d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eddle.AFJE-DT04\Google%20Drive\AJE%20Shared\Administration\Office%20Forms\AJE%20Letter%20Head%20Fin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B356874DDF4B339685B69A2EA737CE"/>
        <w:category>
          <w:name w:val="General"/>
          <w:gallery w:val="placeholder"/>
        </w:category>
        <w:types>
          <w:type w:val="bbPlcHdr"/>
        </w:types>
        <w:behaviors>
          <w:behavior w:val="content"/>
        </w:behaviors>
        <w:guid w:val="{1AE626DA-A39D-4016-950B-AA9EB5A82BBE}"/>
      </w:docPartPr>
      <w:docPartBody>
        <w:p w:rsidR="00832947" w:rsidRDefault="003745F6" w:rsidP="003745F6">
          <w:pPr>
            <w:pStyle w:val="DDB356874DDF4B339685B69A2EA737C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PHKA O+ Bell Gothic Std">
    <w:altName w:val="CPHKA O+ Bell Gothic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F6"/>
    <w:rsid w:val="000A601E"/>
    <w:rsid w:val="003745F6"/>
    <w:rsid w:val="006424A7"/>
    <w:rsid w:val="007D674E"/>
    <w:rsid w:val="00832947"/>
    <w:rsid w:val="00832DFC"/>
    <w:rsid w:val="00A02B90"/>
    <w:rsid w:val="00D306CF"/>
    <w:rsid w:val="00DA1C8B"/>
    <w:rsid w:val="00E95F1C"/>
    <w:rsid w:val="00EE5449"/>
    <w:rsid w:val="00F21184"/>
    <w:rsid w:val="00FB5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EF0550F6D84946BFE272F57D092905">
    <w:name w:val="17EF0550F6D84946BFE272F57D092905"/>
    <w:rsid w:val="003745F6"/>
  </w:style>
  <w:style w:type="paragraph" w:customStyle="1" w:styleId="F24CDC750CB64C6DAAAA930BFCAAAD73">
    <w:name w:val="F24CDC750CB64C6DAAAA930BFCAAAD73"/>
    <w:rsid w:val="003745F6"/>
  </w:style>
  <w:style w:type="paragraph" w:customStyle="1" w:styleId="DDB356874DDF4B339685B69A2EA737CE">
    <w:name w:val="DDB356874DDF4B339685B69A2EA737CE"/>
    <w:rsid w:val="003745F6"/>
  </w:style>
  <w:style w:type="paragraph" w:customStyle="1" w:styleId="57BE3C8061274F2D9EA618ABC940B210">
    <w:name w:val="57BE3C8061274F2D9EA618ABC940B210"/>
    <w:rsid w:val="003745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EF0550F6D84946BFE272F57D092905">
    <w:name w:val="17EF0550F6D84946BFE272F57D092905"/>
    <w:rsid w:val="003745F6"/>
  </w:style>
  <w:style w:type="paragraph" w:customStyle="1" w:styleId="F24CDC750CB64C6DAAAA930BFCAAAD73">
    <w:name w:val="F24CDC750CB64C6DAAAA930BFCAAAD73"/>
    <w:rsid w:val="003745F6"/>
  </w:style>
  <w:style w:type="paragraph" w:customStyle="1" w:styleId="DDB356874DDF4B339685B69A2EA737CE">
    <w:name w:val="DDB356874DDF4B339685B69A2EA737CE"/>
    <w:rsid w:val="003745F6"/>
  </w:style>
  <w:style w:type="paragraph" w:customStyle="1" w:styleId="57BE3C8061274F2D9EA618ABC940B210">
    <w:name w:val="57BE3C8061274F2D9EA618ABC940B210"/>
    <w:rsid w:val="00374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43FBB-803C-4C26-A015-F309DA19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AJE Letter Head Final</Template>
  <TotalTime>32</TotalTime>
  <Pages>4</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MWeddle</dc:creator>
  <cp:lastModifiedBy>RHiligh-Thomas</cp:lastModifiedBy>
  <cp:revision>7</cp:revision>
  <cp:lastPrinted>2019-06-04T22:24:00Z</cp:lastPrinted>
  <dcterms:created xsi:type="dcterms:W3CDTF">2019-05-20T14:36:00Z</dcterms:created>
  <dcterms:modified xsi:type="dcterms:W3CDTF">2019-06-04T22:54:00Z</dcterms:modified>
</cp:coreProperties>
</file>