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10908"/>
      </w:tblGrid>
      <w:tr w:rsidR="00B56AEB" w:rsidRPr="0006260F" w:rsidTr="00311A65">
        <w:trPr>
          <w:trHeight w:val="368"/>
        </w:trPr>
        <w:tc>
          <w:tcPr>
            <w:tcW w:w="10908" w:type="dxa"/>
            <w:tcBorders>
              <w:top w:val="single" w:sz="4" w:space="0" w:color="auto"/>
              <w:left w:val="single" w:sz="4" w:space="0" w:color="auto"/>
              <w:bottom w:val="single" w:sz="4" w:space="0" w:color="auto"/>
              <w:right w:val="single" w:sz="4" w:space="0" w:color="auto"/>
            </w:tcBorders>
            <w:shd w:val="clear" w:color="auto" w:fill="ED7D31" w:themeFill="accent2"/>
            <w:tcMar>
              <w:top w:w="0" w:type="dxa"/>
              <w:left w:w="108" w:type="dxa"/>
              <w:bottom w:w="0" w:type="dxa"/>
              <w:right w:w="108" w:type="dxa"/>
            </w:tcMar>
          </w:tcPr>
          <w:p w:rsidR="00B56AEB" w:rsidRPr="0006260F" w:rsidRDefault="00B56AEB">
            <w:pPr>
              <w:spacing w:after="0"/>
              <w:rPr>
                <w:rFonts w:ascii="Georgia" w:hAnsi="Georgia" w:cs="Times New Roman"/>
                <w:sz w:val="25"/>
                <w:szCs w:val="25"/>
                <w:lang w:val="es-ES_tradnl"/>
              </w:rPr>
            </w:pPr>
            <w:r w:rsidRPr="00311A65">
              <w:rPr>
                <w:rFonts w:ascii="Georgia" w:hAnsi="Georgia" w:cs="Times New Roman"/>
                <w:b/>
                <w:color w:val="FFFFFF" w:themeColor="background1"/>
                <w:sz w:val="24"/>
                <w:szCs w:val="25"/>
                <w:lang w:val="es-ES_tradnl"/>
              </w:rPr>
              <w:t>Derecho a la educación pública en el Distrito de Colum</w:t>
            </w:r>
            <w:r w:rsidR="00DD638C" w:rsidRPr="00311A65">
              <w:rPr>
                <w:rFonts w:ascii="Georgia" w:hAnsi="Georgia" w:cs="Times New Roman"/>
                <w:b/>
                <w:color w:val="FFFFFF" w:themeColor="background1"/>
                <w:sz w:val="24"/>
                <w:szCs w:val="25"/>
                <w:lang w:val="es-ES_tradnl"/>
              </w:rPr>
              <w:t>b</w:t>
            </w:r>
            <w:r w:rsidRPr="00311A65">
              <w:rPr>
                <w:rFonts w:ascii="Georgia" w:hAnsi="Georgia" w:cs="Times New Roman"/>
                <w:b/>
                <w:color w:val="FFFFFF" w:themeColor="background1"/>
                <w:sz w:val="24"/>
                <w:szCs w:val="25"/>
                <w:lang w:val="es-ES_tradnl"/>
              </w:rPr>
              <w:t>ia</w:t>
            </w:r>
          </w:p>
        </w:tc>
      </w:tr>
    </w:tbl>
    <w:p w:rsidR="00B56AEB" w:rsidRPr="0006260F" w:rsidRDefault="00B56AEB">
      <w:pPr>
        <w:pStyle w:val="NoSpacing"/>
        <w:numPr>
          <w:ilvl w:val="0"/>
          <w:numId w:val="10"/>
        </w:numPr>
        <w:ind w:left="720" w:hanging="360"/>
        <w:rPr>
          <w:rFonts w:ascii="Garamond" w:hAnsi="Garamond" w:cs="Times New Roman"/>
          <w:sz w:val="21"/>
          <w:szCs w:val="21"/>
          <w:lang w:val="es-ES_tradnl"/>
        </w:rPr>
      </w:pPr>
      <w:r w:rsidRPr="0006260F">
        <w:rPr>
          <w:rFonts w:ascii="Garamond" w:hAnsi="Garamond" w:cs="Times New Roman"/>
          <w:sz w:val="21"/>
          <w:szCs w:val="21"/>
          <w:lang w:val="es-ES_tradnl"/>
        </w:rPr>
        <w:t xml:space="preserve">Los estudiantes tienen derecho a recibir una educación pública significativa, y es obligatorio que los que tienen entre 5 y 18 años de edad asistan a la escuela. </w:t>
      </w:r>
    </w:p>
    <w:p w:rsidR="00B56AEB" w:rsidRPr="0006260F" w:rsidRDefault="00B56AEB">
      <w:pPr>
        <w:pStyle w:val="NoSpacing"/>
        <w:numPr>
          <w:ilvl w:val="0"/>
          <w:numId w:val="10"/>
        </w:numPr>
        <w:spacing w:before="240"/>
        <w:ind w:left="720" w:hanging="360"/>
        <w:rPr>
          <w:rFonts w:ascii="Georgia" w:hAnsi="Georgia" w:cs="Times New Roman"/>
          <w:sz w:val="21"/>
          <w:szCs w:val="21"/>
          <w:lang w:val="es-ES_tradnl"/>
        </w:rPr>
      </w:pPr>
      <w:r w:rsidRPr="0006260F">
        <w:rPr>
          <w:rFonts w:ascii="Garamond" w:hAnsi="Garamond" w:cs="Times New Roman"/>
          <w:sz w:val="21"/>
          <w:szCs w:val="21"/>
          <w:lang w:val="es-ES_tradnl"/>
        </w:rPr>
        <w:t xml:space="preserve">Antes de </w:t>
      </w:r>
      <w:r w:rsidR="00DD638C" w:rsidRPr="0006260F">
        <w:rPr>
          <w:rFonts w:ascii="Garamond" w:hAnsi="Garamond" w:cs="Times New Roman"/>
          <w:sz w:val="21"/>
          <w:szCs w:val="21"/>
          <w:lang w:val="es-ES_tradnl"/>
        </w:rPr>
        <w:t xml:space="preserve">que </w:t>
      </w:r>
      <w:r w:rsidRPr="0006260F">
        <w:rPr>
          <w:rFonts w:ascii="Garamond" w:hAnsi="Garamond" w:cs="Times New Roman"/>
          <w:sz w:val="21"/>
          <w:szCs w:val="21"/>
          <w:lang w:val="es-ES_tradnl"/>
        </w:rPr>
        <w:t xml:space="preserve">pueda suspendérseles o expulsárseles de la escuela, los estudiantes tienen derecho al debido proceso: la notificación de las acusaciones y la oportunidad de ser escuchados. </w:t>
      </w:r>
    </w:p>
    <w:p w:rsidR="00B56AEB" w:rsidRPr="006E5E86" w:rsidRDefault="00B56AEB">
      <w:pPr>
        <w:pStyle w:val="NoSpacing"/>
        <w:ind w:left="720"/>
        <w:rPr>
          <w:rFonts w:ascii="Garamond" w:hAnsi="Garamond" w:cs="Times New Roman"/>
          <w:sz w:val="14"/>
          <w:szCs w:val="14"/>
          <w:lang w:val="es-ES_tradnl"/>
        </w:rPr>
      </w:pPr>
    </w:p>
    <w:tbl>
      <w:tblPr>
        <w:tblW w:w="0" w:type="auto"/>
        <w:tblInd w:w="18" w:type="dxa"/>
        <w:tblLook w:val="0000" w:firstRow="0" w:lastRow="0" w:firstColumn="0" w:lastColumn="0" w:noHBand="0" w:noVBand="0"/>
      </w:tblPr>
      <w:tblGrid>
        <w:gridCol w:w="10890"/>
      </w:tblGrid>
      <w:tr w:rsidR="00B56AEB" w:rsidRPr="0006260F" w:rsidTr="00311A65">
        <w:trPr>
          <w:trHeight w:val="404"/>
        </w:trPr>
        <w:tc>
          <w:tcPr>
            <w:tcW w:w="10890" w:type="dxa"/>
            <w:tcBorders>
              <w:top w:val="single" w:sz="4" w:space="0" w:color="auto"/>
              <w:left w:val="single" w:sz="4" w:space="0" w:color="auto"/>
              <w:bottom w:val="single" w:sz="4" w:space="0" w:color="auto"/>
              <w:right w:val="single" w:sz="4" w:space="0" w:color="auto"/>
            </w:tcBorders>
            <w:shd w:val="clear" w:color="auto" w:fill="ED7D31" w:themeFill="accent2"/>
            <w:tcMar>
              <w:top w:w="0" w:type="dxa"/>
              <w:left w:w="108" w:type="dxa"/>
              <w:bottom w:w="0" w:type="dxa"/>
              <w:right w:w="108" w:type="dxa"/>
            </w:tcMar>
          </w:tcPr>
          <w:p w:rsidR="00B56AEB" w:rsidRPr="0006260F" w:rsidRDefault="00B56AEB">
            <w:pPr>
              <w:spacing w:after="0"/>
              <w:rPr>
                <w:rFonts w:ascii="Georgia" w:hAnsi="Georgia" w:cs="Times New Roman"/>
                <w:sz w:val="25"/>
                <w:szCs w:val="25"/>
                <w:lang w:val="es-ES_tradnl"/>
              </w:rPr>
            </w:pPr>
            <w:r w:rsidRPr="00311A65">
              <w:rPr>
                <w:rFonts w:ascii="Georgia" w:hAnsi="Georgia" w:cs="Times New Roman"/>
                <w:b/>
                <w:color w:val="FFFFFF" w:themeColor="background1"/>
                <w:sz w:val="24"/>
                <w:szCs w:val="25"/>
                <w:lang w:val="es-ES_tradnl"/>
              </w:rPr>
              <w:t>El debido proceso para los estudiantes de las Escuelas Públicas del Distrito de Columbia (DCPS)</w:t>
            </w:r>
          </w:p>
        </w:tc>
      </w:tr>
    </w:tbl>
    <w:p w:rsidR="00B56AEB" w:rsidRPr="0006260F" w:rsidRDefault="00B56AEB">
      <w:pPr>
        <w:numPr>
          <w:ilvl w:val="0"/>
          <w:numId w:val="4"/>
        </w:numPr>
        <w:tabs>
          <w:tab w:val="left" w:pos="720"/>
        </w:tabs>
        <w:ind w:left="720" w:hanging="360"/>
        <w:rPr>
          <w:rFonts w:ascii="Garamond" w:hAnsi="Garamond" w:cs="Times New Roman"/>
          <w:spacing w:val="-1"/>
          <w:sz w:val="21"/>
          <w:szCs w:val="21"/>
          <w:lang w:val="es-ES_tradnl"/>
        </w:rPr>
      </w:pPr>
      <w:r w:rsidRPr="0006260F">
        <w:rPr>
          <w:rFonts w:ascii="Garamond" w:hAnsi="Garamond" w:cs="Times New Roman"/>
          <w:spacing w:val="-1"/>
          <w:sz w:val="21"/>
          <w:szCs w:val="21"/>
          <w:lang w:val="es-ES_tradnl"/>
        </w:rPr>
        <w:t>Conforme a las leyes del Distrito de Columbia, no puede entablarse ninguna acción disciplinaria contra un estudiante sin que las Escuelas Públicas del Distrito de Columbia (DCPS, por sus siglas en inglés) sigan el procedimiento disciplinario debido.</w:t>
      </w:r>
    </w:p>
    <w:p w:rsidR="00B56AEB" w:rsidRPr="0006260F" w:rsidRDefault="00B56AEB">
      <w:pPr>
        <w:numPr>
          <w:ilvl w:val="0"/>
          <w:numId w:val="3"/>
        </w:numPr>
        <w:tabs>
          <w:tab w:val="left" w:pos="720"/>
        </w:tabs>
        <w:spacing w:line="240" w:lineRule="auto"/>
        <w:ind w:left="720" w:hanging="360"/>
        <w:rPr>
          <w:rFonts w:ascii="Georgia" w:hAnsi="Georgia" w:cs="Times New Roman"/>
          <w:sz w:val="21"/>
          <w:szCs w:val="21"/>
          <w:lang w:val="es-ES_tradnl"/>
        </w:rPr>
      </w:pPr>
      <w:r w:rsidRPr="0006260F">
        <w:rPr>
          <w:rFonts w:ascii="Garamond" w:hAnsi="Garamond" w:cs="Times New Roman"/>
          <w:sz w:val="21"/>
          <w:szCs w:val="21"/>
          <w:lang w:val="es-ES_tradnl"/>
        </w:rPr>
        <w:t xml:space="preserve">Los estudiantes de DCPS que son sometidos a una suspensión o a una expulsión tienen derecho a </w:t>
      </w:r>
      <w:r w:rsidR="00DD638C" w:rsidRPr="0006260F">
        <w:rPr>
          <w:rFonts w:ascii="Garamond" w:hAnsi="Garamond" w:cs="Times New Roman"/>
          <w:sz w:val="21"/>
          <w:szCs w:val="21"/>
          <w:lang w:val="es-ES_tradnl"/>
        </w:rPr>
        <w:t>que se les notifique</w:t>
      </w:r>
      <w:r w:rsidRPr="0006260F">
        <w:rPr>
          <w:rFonts w:ascii="Garamond" w:hAnsi="Garamond" w:cs="Times New Roman"/>
          <w:sz w:val="21"/>
          <w:szCs w:val="21"/>
          <w:lang w:val="es-ES_tradnl"/>
        </w:rPr>
        <w:t xml:space="preserve"> la m</w:t>
      </w:r>
      <w:r w:rsidR="00DD638C" w:rsidRPr="0006260F">
        <w:rPr>
          <w:rFonts w:ascii="Garamond" w:hAnsi="Garamond" w:cs="Times New Roman"/>
          <w:sz w:val="21"/>
          <w:szCs w:val="21"/>
          <w:lang w:val="es-ES_tradnl"/>
        </w:rPr>
        <w:t>edida disciplinaria de manera verificable y por escrito</w:t>
      </w:r>
      <w:r w:rsidRPr="0006260F">
        <w:rPr>
          <w:rFonts w:ascii="Garamond" w:hAnsi="Garamond" w:cs="Times New Roman"/>
          <w:sz w:val="21"/>
          <w:szCs w:val="21"/>
          <w:lang w:val="es-ES_tradnl"/>
        </w:rPr>
        <w:t>.  Los estudiantes</w:t>
      </w:r>
      <w:r w:rsidR="00DD638C" w:rsidRPr="0006260F">
        <w:rPr>
          <w:rFonts w:ascii="Garamond" w:hAnsi="Garamond" w:cs="Times New Roman"/>
          <w:sz w:val="21"/>
          <w:szCs w:val="21"/>
          <w:lang w:val="es-ES_tradnl"/>
        </w:rPr>
        <w:t xml:space="preserve"> de</w:t>
      </w:r>
      <w:r w:rsidRPr="0006260F">
        <w:rPr>
          <w:rFonts w:ascii="Garamond" w:hAnsi="Garamond" w:cs="Times New Roman"/>
          <w:sz w:val="21"/>
          <w:szCs w:val="21"/>
          <w:lang w:val="es-ES_tradnl"/>
        </w:rPr>
        <w:t xml:space="preserve"> DCPS que enfrentan una suspensión prolongada (</w:t>
      </w:r>
      <w:r w:rsidRPr="00B34346">
        <w:rPr>
          <w:rFonts w:ascii="Garamond" w:hAnsi="Garamond" w:cs="Times New Roman"/>
          <w:sz w:val="21"/>
          <w:szCs w:val="21"/>
          <w:lang w:val="es-ES_tradnl"/>
        </w:rPr>
        <w:t xml:space="preserve">de </w:t>
      </w:r>
      <w:r w:rsidR="00650DBE" w:rsidRPr="00B34346">
        <w:rPr>
          <w:rFonts w:ascii="Garamond" w:hAnsi="Garamond" w:cs="Times New Roman"/>
          <w:sz w:val="21"/>
          <w:szCs w:val="21"/>
          <w:lang w:val="es-ES_tradnl"/>
        </w:rPr>
        <w:t>6</w:t>
      </w:r>
      <w:r w:rsidRPr="00B34346">
        <w:rPr>
          <w:rFonts w:ascii="Garamond" w:hAnsi="Garamond" w:cs="Times New Roman"/>
          <w:sz w:val="21"/>
          <w:szCs w:val="21"/>
          <w:lang w:val="es-ES_tradnl"/>
        </w:rPr>
        <w:t xml:space="preserve"> días </w:t>
      </w:r>
      <w:r w:rsidR="00650DBE" w:rsidRPr="00B34346">
        <w:rPr>
          <w:rFonts w:ascii="Garamond" w:hAnsi="Garamond" w:cs="Times New Roman"/>
          <w:sz w:val="21"/>
          <w:szCs w:val="21"/>
          <w:lang w:val="es-ES_tradnl"/>
        </w:rPr>
        <w:t xml:space="preserve">o más </w:t>
      </w:r>
      <w:r w:rsidRPr="00B34346">
        <w:rPr>
          <w:rFonts w:ascii="Garamond" w:hAnsi="Garamond" w:cs="Times New Roman"/>
          <w:sz w:val="21"/>
          <w:szCs w:val="21"/>
          <w:lang w:val="es-ES_tradnl"/>
        </w:rPr>
        <w:t>de duración</w:t>
      </w:r>
      <w:r w:rsidRPr="0006260F">
        <w:rPr>
          <w:rFonts w:ascii="Garamond" w:hAnsi="Garamond" w:cs="Times New Roman"/>
          <w:sz w:val="21"/>
          <w:szCs w:val="21"/>
          <w:lang w:val="es-ES_tradnl"/>
        </w:rPr>
        <w:t>) o la expulsión (un [1] año civil) automáticamente tienen derecho a una audiencia. Las audiencias se celebran en la Oficina de Audiencias Administrativas (OAH, por sus siglas en inglés) del Distrito de Columbia, ante un juez contencioso-administrativo.</w:t>
      </w:r>
    </w:p>
    <w:tbl>
      <w:tblPr>
        <w:tblW w:w="0" w:type="auto"/>
        <w:tblInd w:w="18" w:type="dxa"/>
        <w:tblLook w:val="0000" w:firstRow="0" w:lastRow="0" w:firstColumn="0" w:lastColumn="0" w:noHBand="0" w:noVBand="0"/>
      </w:tblPr>
      <w:tblGrid>
        <w:gridCol w:w="10890"/>
      </w:tblGrid>
      <w:tr w:rsidR="00B56AEB" w:rsidRPr="0006260F" w:rsidTr="00311A65">
        <w:trPr>
          <w:trHeight w:val="404"/>
        </w:trPr>
        <w:tc>
          <w:tcPr>
            <w:tcW w:w="10890" w:type="dxa"/>
            <w:tcBorders>
              <w:top w:val="single" w:sz="4" w:space="0" w:color="auto"/>
              <w:left w:val="single" w:sz="4" w:space="0" w:color="auto"/>
              <w:bottom w:val="single" w:sz="4" w:space="0" w:color="auto"/>
              <w:right w:val="single" w:sz="4" w:space="0" w:color="auto"/>
            </w:tcBorders>
            <w:shd w:val="clear" w:color="auto" w:fill="ED7D31" w:themeFill="accent2"/>
            <w:tcMar>
              <w:top w:w="0" w:type="dxa"/>
              <w:left w:w="108" w:type="dxa"/>
              <w:bottom w:w="0" w:type="dxa"/>
              <w:right w:w="108" w:type="dxa"/>
            </w:tcMar>
          </w:tcPr>
          <w:p w:rsidR="00B56AEB" w:rsidRPr="0006260F" w:rsidRDefault="00B56AEB">
            <w:pPr>
              <w:spacing w:after="0"/>
              <w:rPr>
                <w:rFonts w:ascii="Georgia" w:hAnsi="Georgia" w:cs="Times New Roman"/>
                <w:sz w:val="25"/>
                <w:szCs w:val="25"/>
                <w:lang w:val="es-ES_tradnl"/>
              </w:rPr>
            </w:pPr>
            <w:r w:rsidRPr="00311A65">
              <w:rPr>
                <w:rFonts w:ascii="Georgia" w:hAnsi="Georgia" w:cs="Times New Roman"/>
                <w:b/>
                <w:color w:val="FFFFFF" w:themeColor="background1"/>
                <w:sz w:val="24"/>
                <w:szCs w:val="25"/>
                <w:lang w:val="es-ES_tradnl"/>
              </w:rPr>
              <w:t>Procedimientos disciplinarios de DCPS</w:t>
            </w:r>
          </w:p>
        </w:tc>
      </w:tr>
    </w:tbl>
    <w:p w:rsidR="00B56AEB" w:rsidRPr="006E5E86" w:rsidRDefault="00B56AEB">
      <w:pPr>
        <w:spacing w:before="240" w:after="0"/>
        <w:ind w:firstLine="360"/>
        <w:rPr>
          <w:rFonts w:ascii="Georgia" w:hAnsi="Georgia" w:cs="Times New Roman"/>
          <w:b/>
          <w:sz w:val="8"/>
          <w:szCs w:val="8"/>
          <w:u w:val="single"/>
          <w:lang w:val="es-ES_tradnl"/>
        </w:rPr>
      </w:pPr>
    </w:p>
    <w:tbl>
      <w:tblPr>
        <w:tblW w:w="0" w:type="auto"/>
        <w:tblInd w:w="288" w:type="dxa"/>
        <w:tblLook w:val="0000" w:firstRow="0" w:lastRow="0" w:firstColumn="0" w:lastColumn="0" w:noHBand="0" w:noVBand="0"/>
      </w:tblPr>
      <w:tblGrid>
        <w:gridCol w:w="7470"/>
      </w:tblGrid>
      <w:tr w:rsidR="00B56AEB" w:rsidRPr="0006260F" w:rsidTr="00311A65">
        <w:tc>
          <w:tcPr>
            <w:tcW w:w="7470" w:type="dxa"/>
            <w:tcBorders>
              <w:top w:val="single" w:sz="4" w:space="0" w:color="auto"/>
              <w:left w:val="single" w:sz="4" w:space="0" w:color="auto"/>
              <w:bottom w:val="single" w:sz="4" w:space="0" w:color="auto"/>
              <w:right w:val="single" w:sz="4" w:space="0" w:color="auto"/>
            </w:tcBorders>
            <w:shd w:val="clear" w:color="auto" w:fill="ED7D31" w:themeFill="accent2"/>
            <w:tcMar>
              <w:top w:w="0" w:type="dxa"/>
              <w:left w:w="108" w:type="dxa"/>
              <w:bottom w:w="0" w:type="dxa"/>
              <w:right w:w="108" w:type="dxa"/>
            </w:tcMar>
          </w:tcPr>
          <w:p w:rsidR="00B56AEB" w:rsidRPr="0006260F" w:rsidRDefault="00B56AEB">
            <w:pPr>
              <w:pStyle w:val="NoSpacing"/>
              <w:rPr>
                <w:rFonts w:ascii="Georgia" w:hAnsi="Georgia" w:cs="Times New Roman"/>
                <w:b/>
                <w:sz w:val="25"/>
                <w:szCs w:val="24"/>
                <w:lang w:val="es-ES_tradnl"/>
              </w:rPr>
            </w:pPr>
            <w:r w:rsidRPr="00311A65">
              <w:rPr>
                <w:rFonts w:ascii="Georgia" w:hAnsi="Georgia" w:cs="Times New Roman"/>
                <w:b/>
                <w:color w:val="FFFFFF" w:themeColor="background1"/>
                <w:sz w:val="24"/>
                <w:szCs w:val="24"/>
                <w:lang w:val="es-ES_tradnl"/>
              </w:rPr>
              <w:t>Motivos para la suspensión prolongada y para la expulsión</w:t>
            </w:r>
          </w:p>
        </w:tc>
      </w:tr>
    </w:tbl>
    <w:p w:rsidR="00B56AEB" w:rsidRPr="0006260F" w:rsidRDefault="00B56AEB">
      <w:pPr>
        <w:numPr>
          <w:ilvl w:val="0"/>
          <w:numId w:val="5"/>
        </w:numPr>
        <w:tabs>
          <w:tab w:val="left" w:pos="720"/>
        </w:tabs>
        <w:ind w:left="720" w:hanging="360"/>
        <w:rPr>
          <w:rFonts w:ascii="Garamond" w:hAnsi="Garamond" w:cs="Times New Roman"/>
          <w:sz w:val="21"/>
          <w:szCs w:val="21"/>
          <w:lang w:val="es-ES_tradnl"/>
        </w:rPr>
      </w:pPr>
      <w:r w:rsidRPr="0006260F">
        <w:rPr>
          <w:rFonts w:ascii="Garamond" w:hAnsi="Garamond" w:cs="Times New Roman"/>
          <w:sz w:val="21"/>
          <w:szCs w:val="21"/>
          <w:lang w:val="es-ES_tradnl"/>
        </w:rPr>
        <w:t>DCPS categoriza el comportamiento del estudiante en uno de cinco niveles, que van desde el Nivel 1 para los comportamientos leves (p. ej., insubordinación, desorden leve) hasta el Nivel 5 para los comportamientos más graves (p. ej., conducta ilegal, disturbios graves, un perjuicio considerable para sí mismo o para los demás).</w:t>
      </w:r>
    </w:p>
    <w:p w:rsidR="00650DBE" w:rsidRPr="0006260F" w:rsidRDefault="00B56AEB" w:rsidP="00650DBE">
      <w:pPr>
        <w:numPr>
          <w:ilvl w:val="0"/>
          <w:numId w:val="5"/>
        </w:numPr>
        <w:tabs>
          <w:tab w:val="left" w:pos="720"/>
        </w:tabs>
        <w:ind w:left="720" w:hanging="360"/>
        <w:rPr>
          <w:rFonts w:ascii="Georgia" w:hAnsi="Georgia" w:cs="Times New Roman"/>
          <w:sz w:val="21"/>
          <w:szCs w:val="21"/>
          <w:lang w:val="es-ES_tradnl"/>
        </w:rPr>
      </w:pPr>
      <w:r w:rsidRPr="0006260F">
        <w:rPr>
          <w:rFonts w:ascii="Garamond" w:hAnsi="Garamond" w:cs="Times New Roman"/>
          <w:sz w:val="21"/>
          <w:szCs w:val="21"/>
          <w:lang w:val="es-ES_tradnl"/>
        </w:rPr>
        <w:t>DCPS únicamente puede imponer una suspensión prolongada para las contravenciones de nivel 4 o 5, y una expulsión sólo para las de nivel 5.</w:t>
      </w:r>
    </w:p>
    <w:tbl>
      <w:tblPr>
        <w:tblW w:w="0" w:type="auto"/>
        <w:tblInd w:w="288" w:type="dxa"/>
        <w:tblLook w:val="0000" w:firstRow="0" w:lastRow="0" w:firstColumn="0" w:lastColumn="0" w:noHBand="0" w:noVBand="0"/>
      </w:tblPr>
      <w:tblGrid>
        <w:gridCol w:w="5065"/>
      </w:tblGrid>
      <w:tr w:rsidR="00650DBE" w:rsidRPr="0034334C" w:rsidTr="00311A65">
        <w:tc>
          <w:tcPr>
            <w:tcW w:w="5065" w:type="dxa"/>
            <w:tcBorders>
              <w:top w:val="single" w:sz="4" w:space="0" w:color="auto"/>
              <w:left w:val="single" w:sz="4" w:space="0" w:color="auto"/>
              <w:bottom w:val="single" w:sz="4" w:space="0" w:color="auto"/>
              <w:right w:val="single" w:sz="4" w:space="0" w:color="auto"/>
            </w:tcBorders>
            <w:shd w:val="clear" w:color="auto" w:fill="ED7D31" w:themeFill="accent2"/>
            <w:tcMar>
              <w:top w:w="0" w:type="dxa"/>
              <w:left w:w="108" w:type="dxa"/>
              <w:bottom w:w="0" w:type="dxa"/>
              <w:right w:w="108" w:type="dxa"/>
            </w:tcMar>
          </w:tcPr>
          <w:p w:rsidR="00650DBE" w:rsidRPr="0034334C" w:rsidRDefault="00650DBE" w:rsidP="00780067">
            <w:pPr>
              <w:pStyle w:val="NoSpacing"/>
              <w:rPr>
                <w:rFonts w:ascii="Georgia" w:hAnsi="Georgia" w:cs="Times New Roman"/>
                <w:b/>
                <w:sz w:val="25"/>
                <w:szCs w:val="24"/>
                <w:highlight w:val="yellow"/>
                <w:lang w:val="es-ES_tradnl"/>
              </w:rPr>
            </w:pPr>
            <w:r w:rsidRPr="00311A65">
              <w:rPr>
                <w:rFonts w:ascii="Georgia" w:hAnsi="Georgia" w:cs="Times New Roman"/>
                <w:b/>
                <w:color w:val="FFFFFF" w:themeColor="background1"/>
                <w:sz w:val="24"/>
                <w:szCs w:val="24"/>
                <w:lang w:val="es-ES_tradnl"/>
              </w:rPr>
              <w:t xml:space="preserve">Límites de tiempo para la suspensión </w:t>
            </w:r>
          </w:p>
        </w:tc>
      </w:tr>
    </w:tbl>
    <w:p w:rsidR="00650DBE" w:rsidRPr="00B34346" w:rsidRDefault="00650DBE" w:rsidP="00650DBE">
      <w:pPr>
        <w:numPr>
          <w:ilvl w:val="0"/>
          <w:numId w:val="5"/>
        </w:numPr>
        <w:tabs>
          <w:tab w:val="left" w:pos="720"/>
        </w:tabs>
        <w:ind w:left="720" w:hanging="360"/>
        <w:rPr>
          <w:rFonts w:ascii="Garamond" w:hAnsi="Garamond" w:cs="Times New Roman"/>
          <w:sz w:val="21"/>
          <w:szCs w:val="21"/>
          <w:lang w:val="es-ES_tradnl"/>
        </w:rPr>
      </w:pPr>
      <w:r w:rsidRPr="00B34346">
        <w:rPr>
          <w:rFonts w:ascii="Garamond" w:hAnsi="Garamond" w:cs="Times New Roman"/>
          <w:sz w:val="21"/>
          <w:szCs w:val="21"/>
          <w:lang w:val="es-ES_tradnl"/>
        </w:rPr>
        <w:t>En general,</w:t>
      </w:r>
      <w:r w:rsidR="004E2835" w:rsidRPr="00B34346">
        <w:rPr>
          <w:rFonts w:ascii="Garamond" w:hAnsi="Garamond" w:cs="Times New Roman"/>
          <w:sz w:val="21"/>
          <w:szCs w:val="21"/>
          <w:lang w:val="es-ES_tradnl"/>
        </w:rPr>
        <w:t xml:space="preserve"> no</w:t>
      </w:r>
      <w:r w:rsidR="004E2835" w:rsidRPr="00B34346">
        <w:rPr>
          <w:rFonts w:ascii="Garamond" w:eastAsia="Garamond" w:hAnsi="Garamond" w:cs="Garamond"/>
          <w:sz w:val="21"/>
          <w:szCs w:val="21"/>
          <w:lang w:val="es-ES_tradnl"/>
        </w:rPr>
        <w:t xml:space="preserve"> se puede suspender a un estudiante por más de veinte días escolares acumulativos durante un año académico. Las excepciones requieren una justificación por escrito del </w:t>
      </w:r>
      <w:r w:rsidR="00D2162D" w:rsidRPr="00B34346">
        <w:rPr>
          <w:rFonts w:ascii="Garamond" w:eastAsia="Garamond" w:hAnsi="Garamond" w:cs="Garamond"/>
          <w:sz w:val="21"/>
          <w:szCs w:val="21"/>
          <w:lang w:val="es-ES_tradnl"/>
        </w:rPr>
        <w:t>Rector</w:t>
      </w:r>
      <w:r w:rsidR="004E2835" w:rsidRPr="00B34346">
        <w:rPr>
          <w:rFonts w:ascii="Garamond" w:eastAsia="Garamond" w:hAnsi="Garamond" w:cs="Garamond"/>
          <w:sz w:val="21"/>
          <w:szCs w:val="21"/>
          <w:lang w:val="es-ES_tradnl"/>
        </w:rPr>
        <w:t xml:space="preserve"> que explique por qué la medida disciplinaria fue más adecuada que las respuestas alternativas</w:t>
      </w:r>
      <w:r w:rsidR="00D2162D" w:rsidRPr="00B34346">
        <w:rPr>
          <w:rFonts w:ascii="Garamond" w:eastAsia="Garamond" w:hAnsi="Garamond" w:cs="Garamond"/>
          <w:sz w:val="21"/>
          <w:szCs w:val="21"/>
          <w:lang w:val="es-ES_tradnl"/>
        </w:rPr>
        <w:t xml:space="preserve"> o por qué la situación </w:t>
      </w:r>
      <w:r w:rsidR="003A1E30" w:rsidRPr="00B34346">
        <w:rPr>
          <w:rFonts w:ascii="Garamond" w:eastAsia="Garamond" w:hAnsi="Garamond" w:cs="Garamond"/>
          <w:sz w:val="21"/>
          <w:szCs w:val="21"/>
          <w:lang w:val="es-ES_tradnl"/>
        </w:rPr>
        <w:t>requirió una remoción de emergencia</w:t>
      </w:r>
      <w:r w:rsidRPr="00B34346">
        <w:rPr>
          <w:rFonts w:ascii="Garamond" w:hAnsi="Garamond" w:cs="Times New Roman"/>
          <w:sz w:val="21"/>
          <w:szCs w:val="21"/>
          <w:lang w:val="es-ES_tradnl"/>
        </w:rPr>
        <w:t>.</w:t>
      </w:r>
    </w:p>
    <w:tbl>
      <w:tblPr>
        <w:tblW w:w="0" w:type="auto"/>
        <w:tblInd w:w="288" w:type="dxa"/>
        <w:tblLook w:val="0000" w:firstRow="0" w:lastRow="0" w:firstColumn="0" w:lastColumn="0" w:noHBand="0" w:noVBand="0"/>
      </w:tblPr>
      <w:tblGrid>
        <w:gridCol w:w="4230"/>
      </w:tblGrid>
      <w:tr w:rsidR="00B56AEB" w:rsidRPr="0006260F" w:rsidTr="00311A65">
        <w:tc>
          <w:tcPr>
            <w:tcW w:w="4230" w:type="dxa"/>
            <w:tcBorders>
              <w:top w:val="single" w:sz="4" w:space="0" w:color="auto"/>
              <w:left w:val="single" w:sz="4" w:space="0" w:color="auto"/>
              <w:bottom w:val="single" w:sz="4" w:space="0" w:color="auto"/>
              <w:right w:val="single" w:sz="4" w:space="0" w:color="auto"/>
            </w:tcBorders>
            <w:shd w:val="clear" w:color="auto" w:fill="ED7D31" w:themeFill="accent2"/>
            <w:tcMar>
              <w:top w:w="0" w:type="dxa"/>
              <w:left w:w="108" w:type="dxa"/>
              <w:bottom w:w="0" w:type="dxa"/>
              <w:right w:w="108" w:type="dxa"/>
            </w:tcMar>
          </w:tcPr>
          <w:p w:rsidR="00B56AEB" w:rsidRPr="0006260F" w:rsidRDefault="00B56AEB">
            <w:pPr>
              <w:pStyle w:val="NoSpacing"/>
              <w:rPr>
                <w:rFonts w:ascii="Georgia" w:hAnsi="Georgia" w:cs="Times New Roman"/>
                <w:b/>
                <w:sz w:val="25"/>
                <w:szCs w:val="24"/>
                <w:lang w:val="es-ES_tradnl"/>
              </w:rPr>
            </w:pPr>
            <w:r w:rsidRPr="00311A65">
              <w:rPr>
                <w:rFonts w:ascii="Georgia" w:hAnsi="Georgia" w:cs="Times New Roman"/>
                <w:b/>
                <w:color w:val="FFFFFF" w:themeColor="background1"/>
                <w:sz w:val="24"/>
                <w:szCs w:val="24"/>
                <w:lang w:val="es-ES_tradnl"/>
              </w:rPr>
              <w:t>Antes de la audiencia</w:t>
            </w:r>
          </w:p>
        </w:tc>
      </w:tr>
    </w:tbl>
    <w:p w:rsidR="00B56AEB" w:rsidRPr="006E5E86" w:rsidRDefault="00B56AEB">
      <w:pPr>
        <w:pStyle w:val="NoSpacing"/>
        <w:ind w:firstLine="360"/>
        <w:rPr>
          <w:rFonts w:ascii="Georgia" w:hAnsi="Georgia" w:cs="Times New Roman"/>
          <w:b/>
          <w:i/>
          <w:sz w:val="16"/>
          <w:szCs w:val="18"/>
          <w:u w:val="single"/>
          <w:lang w:val="es-ES_tradnl"/>
        </w:rPr>
      </w:pPr>
    </w:p>
    <w:p w:rsidR="00B56AEB" w:rsidRPr="0006260F" w:rsidRDefault="00B56AEB">
      <w:pPr>
        <w:pStyle w:val="NoSpacing"/>
        <w:ind w:firstLine="360"/>
        <w:rPr>
          <w:rFonts w:ascii="Georgia" w:hAnsi="Georgia" w:cs="Times New Roman"/>
          <w:b/>
          <w:i/>
          <w:sz w:val="21"/>
          <w:szCs w:val="21"/>
          <w:lang w:val="es-ES_tradnl"/>
        </w:rPr>
      </w:pPr>
      <w:r w:rsidRPr="0006260F">
        <w:rPr>
          <w:rFonts w:ascii="Georgia" w:hAnsi="Georgia" w:cs="Times New Roman"/>
          <w:b/>
          <w:i/>
          <w:sz w:val="21"/>
          <w:szCs w:val="21"/>
          <w:u w:val="single"/>
          <w:lang w:val="es-ES_tradnl"/>
        </w:rPr>
        <w:t>Usted tiene derecho a</w:t>
      </w:r>
      <w:r w:rsidRPr="0006260F">
        <w:rPr>
          <w:rFonts w:ascii="Georgia" w:hAnsi="Georgia" w:cs="Times New Roman"/>
          <w:b/>
          <w:i/>
          <w:sz w:val="21"/>
          <w:szCs w:val="21"/>
          <w:lang w:val="es-ES_tradnl"/>
        </w:rPr>
        <w:t>:</w:t>
      </w:r>
    </w:p>
    <w:p w:rsidR="00B56AEB" w:rsidRPr="0006260F" w:rsidRDefault="00B56AEB">
      <w:pPr>
        <w:pStyle w:val="ListParagraph"/>
        <w:numPr>
          <w:ilvl w:val="0"/>
          <w:numId w:val="6"/>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Una conferencia entre el estudiante y un administrador de la escuela para hablar de los motivos para la medida disciplinaria, analizar las pruebas y permitirle al estudiante contar su versión de los hechos</w:t>
      </w:r>
      <w:r w:rsidR="00DD638C" w:rsidRPr="0006260F">
        <w:rPr>
          <w:rFonts w:ascii="Garamond" w:hAnsi="Garamond"/>
          <w:sz w:val="21"/>
          <w:szCs w:val="21"/>
          <w:lang w:val="es-ES_tradnl"/>
        </w:rPr>
        <w:t>,</w:t>
      </w:r>
      <w:r w:rsidRPr="0006260F">
        <w:rPr>
          <w:rFonts w:ascii="Garamond" w:hAnsi="Garamond"/>
          <w:sz w:val="21"/>
          <w:szCs w:val="21"/>
          <w:lang w:val="es-ES_tradnl"/>
        </w:rPr>
        <w:t xml:space="preserve"> </w:t>
      </w:r>
      <w:r w:rsidRPr="0006260F">
        <w:rPr>
          <w:rFonts w:ascii="Garamond" w:hAnsi="Garamond"/>
          <w:sz w:val="21"/>
          <w:szCs w:val="21"/>
          <w:u w:val="single"/>
          <w:lang w:val="es-ES_tradnl"/>
        </w:rPr>
        <w:t>antes</w:t>
      </w:r>
      <w:r w:rsidRPr="0006260F">
        <w:rPr>
          <w:rFonts w:ascii="Garamond" w:hAnsi="Garamond"/>
          <w:sz w:val="21"/>
          <w:szCs w:val="21"/>
          <w:lang w:val="es-ES_tradnl"/>
        </w:rPr>
        <w:t xml:space="preserve"> de toma</w:t>
      </w:r>
      <w:r w:rsidR="00DD638C" w:rsidRPr="0006260F">
        <w:rPr>
          <w:rFonts w:ascii="Garamond" w:hAnsi="Garamond"/>
          <w:sz w:val="21"/>
          <w:szCs w:val="21"/>
          <w:lang w:val="es-ES_tradnl"/>
        </w:rPr>
        <w:t>r</w:t>
      </w:r>
      <w:r w:rsidRPr="0006260F">
        <w:rPr>
          <w:rFonts w:ascii="Garamond" w:hAnsi="Garamond"/>
          <w:sz w:val="21"/>
          <w:szCs w:val="21"/>
          <w:lang w:val="es-ES_tradnl"/>
        </w:rPr>
        <w:t xml:space="preserve"> cualquier medida tal.</w:t>
      </w:r>
    </w:p>
    <w:p w:rsidR="00B56AEB" w:rsidRPr="00311A65" w:rsidRDefault="00B56AEB">
      <w:pPr>
        <w:pStyle w:val="ListParagraph"/>
        <w:spacing w:after="240"/>
        <w:ind w:left="1440"/>
        <w:rPr>
          <w:rFonts w:ascii="Garamond" w:hAnsi="Garamond"/>
          <w:sz w:val="18"/>
          <w:szCs w:val="18"/>
          <w:lang w:val="es-ES_tradnl"/>
        </w:rPr>
      </w:pPr>
    </w:p>
    <w:p w:rsidR="00B56AEB" w:rsidRPr="0006260F" w:rsidRDefault="00DD638C">
      <w:pPr>
        <w:pStyle w:val="ListParagraph"/>
        <w:numPr>
          <w:ilvl w:val="0"/>
          <w:numId w:val="6"/>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 xml:space="preserve">Una notificación </w:t>
      </w:r>
      <w:r w:rsidR="00B56AEB" w:rsidRPr="0006260F">
        <w:rPr>
          <w:rFonts w:ascii="Garamond" w:hAnsi="Garamond"/>
          <w:sz w:val="21"/>
          <w:szCs w:val="21"/>
          <w:lang w:val="es-ES_tradnl"/>
        </w:rPr>
        <w:t xml:space="preserve">por escrito </w:t>
      </w:r>
      <w:r w:rsidRPr="0006260F">
        <w:rPr>
          <w:rFonts w:ascii="Garamond" w:hAnsi="Garamond"/>
          <w:sz w:val="21"/>
          <w:szCs w:val="21"/>
          <w:lang w:val="es-ES_tradnl"/>
        </w:rPr>
        <w:t xml:space="preserve">que sea </w:t>
      </w:r>
      <w:r w:rsidR="00B56AEB" w:rsidRPr="0006260F">
        <w:rPr>
          <w:rFonts w:ascii="Garamond" w:hAnsi="Garamond"/>
          <w:sz w:val="21"/>
          <w:szCs w:val="21"/>
          <w:lang w:val="es-ES_tradnl"/>
        </w:rPr>
        <w:t>verificable (por correo electrónico, correo certificado, entregado en persona con acuse de recibo firmado, etc.)</w:t>
      </w:r>
      <w:r w:rsidRPr="0006260F">
        <w:rPr>
          <w:rFonts w:ascii="Garamond" w:hAnsi="Garamond"/>
          <w:sz w:val="21"/>
          <w:szCs w:val="21"/>
          <w:lang w:val="es-ES_tradnl"/>
        </w:rPr>
        <w:t>,</w:t>
      </w:r>
      <w:r w:rsidR="00B56AEB" w:rsidRPr="0006260F">
        <w:rPr>
          <w:rFonts w:ascii="Garamond" w:hAnsi="Garamond"/>
          <w:sz w:val="21"/>
          <w:szCs w:val="21"/>
          <w:lang w:val="es-ES_tradnl"/>
        </w:rPr>
        <w:t xml:space="preserve"> citando la supuesta regla contravenida, un resumen de los hechos y la respuesta disciplinaria propuesta, en un plazo de un (1) día lectivo a partir de que la escuela tome la decisión de emprender la medida disciplinaria.</w:t>
      </w:r>
    </w:p>
    <w:p w:rsidR="00B56AEB" w:rsidRPr="00311A65" w:rsidRDefault="00B56AEB">
      <w:pPr>
        <w:pStyle w:val="ListParagraph"/>
        <w:spacing w:after="240"/>
        <w:ind w:left="1440"/>
        <w:rPr>
          <w:rFonts w:ascii="Garamond" w:hAnsi="Garamond"/>
          <w:sz w:val="18"/>
          <w:szCs w:val="18"/>
          <w:lang w:val="es-ES_tradnl"/>
        </w:rPr>
      </w:pPr>
    </w:p>
    <w:p w:rsidR="00B56AEB" w:rsidRPr="0006260F" w:rsidRDefault="00DD638C">
      <w:pPr>
        <w:pStyle w:val="ListParagraph"/>
        <w:numPr>
          <w:ilvl w:val="0"/>
          <w:numId w:val="6"/>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Seguir asistiendo a</w:t>
      </w:r>
      <w:r w:rsidR="00B56AEB" w:rsidRPr="0006260F">
        <w:rPr>
          <w:rFonts w:ascii="Garamond" w:hAnsi="Garamond"/>
          <w:sz w:val="21"/>
          <w:szCs w:val="21"/>
          <w:lang w:val="es-ES_tradnl"/>
        </w:rPr>
        <w:t xml:space="preserve"> la escuela antes de la audiencia, a menos que exista una emergencia inmediata (tal como cuando el comportamiento del estudiante </w:t>
      </w:r>
      <w:r w:rsidRPr="0006260F">
        <w:rPr>
          <w:rFonts w:ascii="Garamond" w:hAnsi="Garamond"/>
          <w:sz w:val="21"/>
          <w:szCs w:val="21"/>
          <w:lang w:val="es-ES_tradnl"/>
        </w:rPr>
        <w:t>sea</w:t>
      </w:r>
      <w:r w:rsidR="00B56AEB" w:rsidRPr="0006260F">
        <w:rPr>
          <w:rFonts w:ascii="Garamond" w:hAnsi="Garamond"/>
          <w:sz w:val="21"/>
          <w:szCs w:val="21"/>
          <w:lang w:val="es-ES_tradnl"/>
        </w:rPr>
        <w:t xml:space="preserve"> tan des</w:t>
      </w:r>
      <w:r w:rsidRPr="0006260F">
        <w:rPr>
          <w:rFonts w:ascii="Garamond" w:hAnsi="Garamond"/>
          <w:sz w:val="21"/>
          <w:szCs w:val="21"/>
          <w:lang w:val="es-ES_tradnl"/>
        </w:rPr>
        <w:t>ordenado o peligroso que plantee</w:t>
      </w:r>
      <w:r w:rsidR="00B56AEB" w:rsidRPr="0006260F">
        <w:rPr>
          <w:rFonts w:ascii="Garamond" w:hAnsi="Garamond"/>
          <w:sz w:val="21"/>
          <w:szCs w:val="21"/>
          <w:lang w:val="es-ES_tradnl"/>
        </w:rPr>
        <w:t xml:space="preserve"> una amenaza muy real e inmediata para la salud </w:t>
      </w:r>
      <w:r w:rsidR="00B56AEB" w:rsidRPr="0006260F">
        <w:rPr>
          <w:rFonts w:ascii="Garamond" w:hAnsi="Garamond"/>
          <w:sz w:val="21"/>
          <w:szCs w:val="21"/>
          <w:lang w:val="es-ES_tradnl"/>
        </w:rPr>
        <w:lastRenderedPageBreak/>
        <w:t>y la seguridad de los demás miembros de la comunidad escolar).</w:t>
      </w:r>
    </w:p>
    <w:p w:rsidR="00B56AEB" w:rsidRPr="0006260F" w:rsidRDefault="00B56AEB">
      <w:pPr>
        <w:pStyle w:val="ListParagraph"/>
        <w:numPr>
          <w:ilvl w:val="0"/>
          <w:numId w:val="6"/>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Para los estudiantes con una incapacidad confirmada o presunta, una revisión de la determinación de manifestación en un plazo de diez (10) días lectivos a partir de que se tome la decisión de imponer una suspensión prolongada o la expulsión.</w:t>
      </w:r>
    </w:p>
    <w:p w:rsidR="00B56AEB" w:rsidRPr="0006260F" w:rsidRDefault="00B56AEB">
      <w:pPr>
        <w:pStyle w:val="ListParagraph"/>
        <w:spacing w:after="200" w:line="276" w:lineRule="auto"/>
        <w:rPr>
          <w:rFonts w:ascii="Garamond" w:hAnsi="Garamond"/>
          <w:sz w:val="21"/>
          <w:szCs w:val="21"/>
          <w:lang w:val="es-ES_tradnl"/>
        </w:rPr>
      </w:pPr>
    </w:p>
    <w:p w:rsidR="00B56AEB" w:rsidRPr="0006260F" w:rsidRDefault="00B56AEB">
      <w:pPr>
        <w:pStyle w:val="ListParagraph"/>
        <w:numPr>
          <w:ilvl w:val="0"/>
          <w:numId w:val="6"/>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Una audiencia en un plazo de cuatro (4) días a partir de que reciba el aviso por escrito.</w:t>
      </w:r>
    </w:p>
    <w:p w:rsidR="00B56AEB" w:rsidRPr="0006260F" w:rsidRDefault="00B56AEB" w:rsidP="00DD638C">
      <w:pPr>
        <w:pStyle w:val="ListParagraph"/>
        <w:spacing w:after="240"/>
        <w:ind w:left="0"/>
        <w:rPr>
          <w:rFonts w:ascii="Garamond" w:hAnsi="Garamond"/>
          <w:sz w:val="21"/>
          <w:szCs w:val="21"/>
          <w:lang w:val="es-ES_tradnl"/>
        </w:rPr>
      </w:pPr>
    </w:p>
    <w:p w:rsidR="00B56AEB" w:rsidRPr="0006260F" w:rsidRDefault="00B56AEB">
      <w:pPr>
        <w:pStyle w:val="ListParagraph"/>
        <w:numPr>
          <w:ilvl w:val="0"/>
          <w:numId w:val="6"/>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Posponer la audiencia por hasta cinco (5) días, de ser necesario para prepararse para la audiencia, o para disponer la asistencia de las partes o los testigos necesarios.</w:t>
      </w:r>
    </w:p>
    <w:p w:rsidR="00B56AEB" w:rsidRPr="0006260F" w:rsidRDefault="00B56AEB">
      <w:pPr>
        <w:pStyle w:val="ListParagraph"/>
        <w:spacing w:after="200" w:line="276" w:lineRule="auto"/>
        <w:rPr>
          <w:rFonts w:ascii="Garamond" w:hAnsi="Garamond"/>
          <w:sz w:val="21"/>
          <w:szCs w:val="21"/>
          <w:lang w:val="es-ES_tradnl"/>
        </w:rPr>
      </w:pPr>
    </w:p>
    <w:p w:rsidR="00B56AEB" w:rsidRPr="0006260F" w:rsidRDefault="00B56AEB">
      <w:pPr>
        <w:pStyle w:val="ListParagraph"/>
        <w:numPr>
          <w:ilvl w:val="0"/>
          <w:numId w:val="6"/>
        </w:numPr>
        <w:tabs>
          <w:tab w:val="left" w:pos="720"/>
        </w:tabs>
        <w:spacing w:after="240"/>
        <w:ind w:hanging="360"/>
        <w:rPr>
          <w:rFonts w:ascii="Georgia" w:hAnsi="Georgia"/>
          <w:sz w:val="21"/>
          <w:szCs w:val="21"/>
          <w:lang w:val="es-ES_tradnl"/>
        </w:rPr>
      </w:pPr>
      <w:r w:rsidRPr="0006260F">
        <w:rPr>
          <w:rFonts w:ascii="Garamond" w:hAnsi="Garamond"/>
          <w:sz w:val="21"/>
          <w:szCs w:val="21"/>
          <w:lang w:val="es-ES_tradnl"/>
        </w:rPr>
        <w:t xml:space="preserve">Solicitar y leer copias de todos los documentos y pruebas relacionados con el incidente disciplinario, </w:t>
      </w:r>
      <w:r w:rsidRPr="0006260F">
        <w:rPr>
          <w:rFonts w:ascii="Garamond" w:hAnsi="Garamond"/>
          <w:sz w:val="21"/>
          <w:szCs w:val="21"/>
          <w:u w:val="single"/>
          <w:lang w:val="es-ES_tradnl"/>
        </w:rPr>
        <w:t>antes</w:t>
      </w:r>
      <w:r w:rsidRPr="0006260F">
        <w:rPr>
          <w:rFonts w:ascii="Garamond" w:hAnsi="Garamond"/>
          <w:sz w:val="21"/>
          <w:szCs w:val="21"/>
          <w:lang w:val="es-ES_tradnl"/>
        </w:rPr>
        <w:t xml:space="preserve"> de la audiencia.</w:t>
      </w:r>
    </w:p>
    <w:tbl>
      <w:tblPr>
        <w:tblW w:w="0" w:type="auto"/>
        <w:tblInd w:w="288" w:type="dxa"/>
        <w:tblLook w:val="0000" w:firstRow="0" w:lastRow="0" w:firstColumn="0" w:lastColumn="0" w:noHBand="0" w:noVBand="0"/>
      </w:tblPr>
      <w:tblGrid>
        <w:gridCol w:w="4230"/>
      </w:tblGrid>
      <w:tr w:rsidR="00B56AEB" w:rsidRPr="0006260F" w:rsidTr="00311A65">
        <w:tc>
          <w:tcPr>
            <w:tcW w:w="4230" w:type="dxa"/>
            <w:tcBorders>
              <w:top w:val="single" w:sz="4" w:space="0" w:color="auto"/>
              <w:left w:val="single" w:sz="4" w:space="0" w:color="auto"/>
              <w:bottom w:val="single" w:sz="4" w:space="0" w:color="auto"/>
              <w:right w:val="single" w:sz="4" w:space="0" w:color="auto"/>
            </w:tcBorders>
            <w:shd w:val="clear" w:color="auto" w:fill="ED7D31" w:themeFill="accent2"/>
            <w:tcMar>
              <w:top w:w="0" w:type="dxa"/>
              <w:left w:w="108" w:type="dxa"/>
              <w:bottom w:w="0" w:type="dxa"/>
              <w:right w:w="108" w:type="dxa"/>
            </w:tcMar>
          </w:tcPr>
          <w:p w:rsidR="00B56AEB" w:rsidRPr="0006260F" w:rsidRDefault="00B56AEB">
            <w:pPr>
              <w:spacing w:after="0"/>
              <w:rPr>
                <w:rFonts w:ascii="Georgia" w:hAnsi="Georgia" w:cs="Times New Roman"/>
                <w:b/>
                <w:sz w:val="25"/>
                <w:szCs w:val="24"/>
                <w:lang w:val="es-ES_tradnl"/>
              </w:rPr>
            </w:pPr>
            <w:r w:rsidRPr="00311A65">
              <w:rPr>
                <w:rFonts w:ascii="Georgia" w:hAnsi="Georgia" w:cs="Times New Roman"/>
                <w:b/>
                <w:color w:val="FFFFFF" w:themeColor="background1"/>
                <w:sz w:val="24"/>
                <w:szCs w:val="24"/>
                <w:lang w:val="es-ES_tradnl"/>
              </w:rPr>
              <w:t xml:space="preserve"> En la audiencia</w:t>
            </w:r>
          </w:p>
        </w:tc>
      </w:tr>
    </w:tbl>
    <w:p w:rsidR="00B56AEB" w:rsidRPr="0006260F" w:rsidRDefault="00B56AEB" w:rsidP="006E5E86">
      <w:pPr>
        <w:tabs>
          <w:tab w:val="left" w:pos="720"/>
        </w:tabs>
        <w:spacing w:after="0" w:line="240" w:lineRule="auto"/>
        <w:ind w:left="270"/>
        <w:rPr>
          <w:rFonts w:ascii="Garamond" w:hAnsi="Garamond" w:cs="Times New Roman"/>
          <w:sz w:val="21"/>
          <w:szCs w:val="21"/>
          <w:lang w:val="es-ES_tradnl"/>
        </w:rPr>
      </w:pPr>
      <w:r w:rsidRPr="0006260F">
        <w:rPr>
          <w:rFonts w:ascii="Garamond" w:hAnsi="Garamond" w:cs="Times New Roman"/>
          <w:sz w:val="21"/>
          <w:szCs w:val="21"/>
          <w:lang w:val="es-ES_tradnl"/>
        </w:rPr>
        <w:t>A DCPS le corresponde la carga de la prueba</w:t>
      </w:r>
      <w:r w:rsidR="00DC50C8" w:rsidRPr="0006260F">
        <w:rPr>
          <w:rFonts w:ascii="Garamond" w:hAnsi="Garamond" w:cs="Times New Roman"/>
          <w:sz w:val="21"/>
          <w:szCs w:val="21"/>
          <w:lang w:val="es-ES_tradnl"/>
        </w:rPr>
        <w:t xml:space="preserve"> </w:t>
      </w:r>
      <w:r w:rsidR="00DC50C8" w:rsidRPr="00B34346">
        <w:rPr>
          <w:rFonts w:ascii="Garamond" w:hAnsi="Garamond" w:cs="Times New Roman"/>
          <w:sz w:val="21"/>
          <w:szCs w:val="21"/>
          <w:lang w:val="es-ES_tradnl"/>
        </w:rPr>
        <w:t>en la audiencia</w:t>
      </w:r>
      <w:r w:rsidRPr="0006260F">
        <w:rPr>
          <w:rFonts w:ascii="Garamond" w:hAnsi="Garamond" w:cs="Times New Roman"/>
          <w:sz w:val="21"/>
          <w:szCs w:val="21"/>
          <w:lang w:val="es-ES_tradnl"/>
        </w:rPr>
        <w:t>.  Esto significa que DCPS tiene que demostrar que se siguieron todos los procedimientos, que el estudiante contravino el código de conducta estudiantil y que la respuesta disciplinaria propuesta es adecuada.</w:t>
      </w:r>
    </w:p>
    <w:p w:rsidR="00B56AEB" w:rsidRPr="0006260F" w:rsidRDefault="00B56AEB">
      <w:pPr>
        <w:spacing w:after="0" w:line="240" w:lineRule="auto"/>
        <w:ind w:left="720"/>
        <w:rPr>
          <w:rFonts w:ascii="Garamond" w:hAnsi="Garamond" w:cs="Times New Roman"/>
          <w:sz w:val="21"/>
          <w:szCs w:val="21"/>
          <w:lang w:val="es-ES_tradnl"/>
        </w:rPr>
      </w:pPr>
    </w:p>
    <w:p w:rsidR="00B56AEB" w:rsidRPr="0006260F" w:rsidRDefault="00B56AEB">
      <w:pPr>
        <w:spacing w:after="0" w:line="240" w:lineRule="auto"/>
        <w:ind w:firstLine="360"/>
        <w:rPr>
          <w:rFonts w:ascii="Georgia" w:hAnsi="Georgia" w:cs="Times New Roman"/>
          <w:b/>
          <w:sz w:val="21"/>
          <w:szCs w:val="21"/>
          <w:lang w:val="es-ES_tradnl"/>
        </w:rPr>
      </w:pPr>
      <w:r w:rsidRPr="0006260F">
        <w:rPr>
          <w:rFonts w:ascii="Georgia" w:hAnsi="Georgia" w:cs="Times New Roman"/>
          <w:b/>
          <w:i/>
          <w:sz w:val="21"/>
          <w:szCs w:val="21"/>
          <w:u w:val="single"/>
          <w:lang w:val="es-ES_tradnl"/>
        </w:rPr>
        <w:t>Usted tiene derecho a</w:t>
      </w:r>
      <w:r w:rsidRPr="0006260F">
        <w:rPr>
          <w:rFonts w:ascii="Georgia" w:hAnsi="Georgia" w:cs="Times New Roman"/>
          <w:b/>
          <w:i/>
          <w:sz w:val="21"/>
          <w:szCs w:val="21"/>
          <w:lang w:val="es-ES_tradnl"/>
        </w:rPr>
        <w:t>:</w:t>
      </w:r>
    </w:p>
    <w:p w:rsidR="00B56AEB" w:rsidRPr="0006260F" w:rsidRDefault="00B56AEB">
      <w:pPr>
        <w:pStyle w:val="ListParagraph"/>
        <w:numPr>
          <w:ilvl w:val="0"/>
          <w:numId w:val="7"/>
        </w:numPr>
        <w:tabs>
          <w:tab w:val="left" w:pos="720"/>
        </w:tabs>
        <w:ind w:hanging="360"/>
        <w:rPr>
          <w:rFonts w:ascii="Garamond" w:hAnsi="Garamond"/>
          <w:sz w:val="21"/>
          <w:szCs w:val="21"/>
          <w:lang w:val="es-ES_tradnl"/>
        </w:rPr>
      </w:pPr>
      <w:r w:rsidRPr="0006260F">
        <w:rPr>
          <w:rFonts w:ascii="Garamond" w:hAnsi="Garamond"/>
          <w:sz w:val="21"/>
          <w:szCs w:val="21"/>
          <w:lang w:val="es-ES_tradnl"/>
        </w:rPr>
        <w:t>Pedir que el caso sea desestimado si DCPS no comparece a la audiencia.</w:t>
      </w:r>
    </w:p>
    <w:p w:rsidR="00B56AEB" w:rsidRPr="00311A65" w:rsidRDefault="00B56AEB">
      <w:pPr>
        <w:pStyle w:val="ListParagraph"/>
        <w:spacing w:after="240"/>
        <w:rPr>
          <w:rFonts w:ascii="Garamond" w:hAnsi="Garamond"/>
          <w:sz w:val="18"/>
          <w:szCs w:val="18"/>
          <w:lang w:val="es-ES_tradnl"/>
        </w:rPr>
      </w:pPr>
    </w:p>
    <w:p w:rsidR="00B56AEB" w:rsidRPr="0006260F" w:rsidRDefault="00B56AEB">
      <w:pPr>
        <w:pStyle w:val="ListParagraph"/>
        <w:numPr>
          <w:ilvl w:val="0"/>
          <w:numId w:val="7"/>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Hacer preguntas a cualquier testigo que la escuela convoque.</w:t>
      </w:r>
    </w:p>
    <w:p w:rsidR="00B56AEB" w:rsidRPr="00311A65" w:rsidRDefault="00B56AEB">
      <w:pPr>
        <w:pStyle w:val="ListParagraph"/>
        <w:spacing w:after="240"/>
        <w:ind w:left="1440"/>
        <w:rPr>
          <w:rFonts w:ascii="Garamond" w:hAnsi="Garamond"/>
          <w:sz w:val="18"/>
          <w:szCs w:val="18"/>
          <w:lang w:val="es-ES_tradnl"/>
        </w:rPr>
      </w:pPr>
    </w:p>
    <w:p w:rsidR="00B56AEB" w:rsidRPr="0006260F" w:rsidRDefault="00B56AEB">
      <w:pPr>
        <w:pStyle w:val="ListParagraph"/>
        <w:numPr>
          <w:ilvl w:val="0"/>
          <w:numId w:val="7"/>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Examinar todas las pruebas presentadas por la escuela, incluyendo cualesquier informes, declaraciones escritas, constancias, grabaciones de las cámaras de seguridad, etc., y a oponer reparos a cualquier prueba presentada que sea improcedente o poco confiable, o que no se haya puesto a su disposición antes de la audiencia.</w:t>
      </w:r>
    </w:p>
    <w:p w:rsidR="00B56AEB" w:rsidRPr="00311A65" w:rsidRDefault="00B56AEB">
      <w:pPr>
        <w:pStyle w:val="ListParagraph"/>
        <w:spacing w:after="200" w:line="276" w:lineRule="auto"/>
        <w:rPr>
          <w:rFonts w:ascii="Garamond" w:hAnsi="Garamond"/>
          <w:sz w:val="18"/>
          <w:szCs w:val="18"/>
          <w:lang w:val="es-ES_tradnl"/>
        </w:rPr>
      </w:pPr>
    </w:p>
    <w:p w:rsidR="00B56AEB" w:rsidRPr="0006260F" w:rsidRDefault="00B56AEB">
      <w:pPr>
        <w:pStyle w:val="ListParagraph"/>
        <w:numPr>
          <w:ilvl w:val="0"/>
          <w:numId w:val="7"/>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Testificar en su propio favor u optar por no hacerlo.  (</w:t>
      </w:r>
      <w:r w:rsidRPr="0006260F">
        <w:rPr>
          <w:rFonts w:ascii="Garamond" w:hAnsi="Garamond"/>
          <w:sz w:val="21"/>
          <w:szCs w:val="21"/>
          <w:u w:val="single"/>
          <w:lang w:val="es-ES_tradnl"/>
        </w:rPr>
        <w:t>Importante</w:t>
      </w:r>
      <w:r w:rsidRPr="0006260F">
        <w:rPr>
          <w:rFonts w:ascii="Garamond" w:hAnsi="Garamond"/>
          <w:sz w:val="21"/>
          <w:szCs w:val="21"/>
          <w:lang w:val="es-ES_tradnl"/>
        </w:rPr>
        <w:t xml:space="preserve">: Si es un estudiante y tiene abierta una causa relacionada ante el Tribunal de Menores, usted </w:t>
      </w:r>
      <w:r w:rsidRPr="0006260F">
        <w:rPr>
          <w:rFonts w:ascii="Garamond" w:hAnsi="Garamond"/>
          <w:sz w:val="21"/>
          <w:szCs w:val="21"/>
          <w:u w:val="single"/>
          <w:lang w:val="es-ES_tradnl"/>
        </w:rPr>
        <w:t>no</w:t>
      </w:r>
      <w:r w:rsidRPr="0006260F">
        <w:rPr>
          <w:rFonts w:ascii="Garamond" w:hAnsi="Garamond"/>
          <w:sz w:val="21"/>
          <w:szCs w:val="21"/>
          <w:lang w:val="es-ES_tradnl"/>
        </w:rPr>
        <w:t xml:space="preserve"> debe declarar sin primero consultarlo con el abogado que lo represente en dicha causa).</w:t>
      </w:r>
    </w:p>
    <w:p w:rsidR="00B56AEB" w:rsidRPr="00311A65" w:rsidRDefault="00B56AEB">
      <w:pPr>
        <w:pStyle w:val="ListParagraph"/>
        <w:spacing w:after="200" w:line="276" w:lineRule="auto"/>
        <w:rPr>
          <w:rFonts w:ascii="Garamond" w:hAnsi="Garamond"/>
          <w:sz w:val="18"/>
          <w:szCs w:val="18"/>
          <w:lang w:val="es-ES_tradnl"/>
        </w:rPr>
      </w:pPr>
    </w:p>
    <w:p w:rsidR="00B56AEB" w:rsidRPr="0006260F" w:rsidRDefault="00B56AEB">
      <w:pPr>
        <w:pStyle w:val="ListParagraph"/>
        <w:numPr>
          <w:ilvl w:val="0"/>
          <w:numId w:val="7"/>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Convocar a testigos para que testifiquen a su favor y hacerles preguntas.</w:t>
      </w:r>
    </w:p>
    <w:p w:rsidR="00B56AEB" w:rsidRPr="00311A65" w:rsidRDefault="00B56AEB">
      <w:pPr>
        <w:pStyle w:val="ListParagraph"/>
        <w:spacing w:after="200" w:line="276" w:lineRule="auto"/>
        <w:rPr>
          <w:rFonts w:ascii="Garamond" w:hAnsi="Garamond"/>
          <w:sz w:val="18"/>
          <w:szCs w:val="18"/>
          <w:lang w:val="es-ES_tradnl"/>
        </w:rPr>
      </w:pPr>
    </w:p>
    <w:p w:rsidR="00B56AEB" w:rsidRPr="0006260F" w:rsidRDefault="00B56AEB">
      <w:pPr>
        <w:pStyle w:val="ListParagraph"/>
        <w:numPr>
          <w:ilvl w:val="0"/>
          <w:numId w:val="7"/>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Presentar pruebas, incluyendo informes, constancias, declaraciones escritas y cualquier otro elemento que usted crea que puede ayudarle al juez contencioso-administrativo a decidir su caso.</w:t>
      </w:r>
      <w:r w:rsidR="00DC50C8" w:rsidRPr="0006260F">
        <w:rPr>
          <w:rFonts w:ascii="Garamond" w:hAnsi="Garamond"/>
          <w:sz w:val="21"/>
          <w:szCs w:val="21"/>
          <w:lang w:val="es-ES_tradnl"/>
        </w:rPr>
        <w:t xml:space="preserve"> </w:t>
      </w:r>
      <w:r w:rsidR="00DC50C8" w:rsidRPr="00B34346">
        <w:rPr>
          <w:rFonts w:ascii="Garamond" w:hAnsi="Garamond"/>
          <w:sz w:val="21"/>
          <w:szCs w:val="21"/>
          <w:lang w:val="es-ES_tradnl"/>
        </w:rPr>
        <w:t>Esto incluye las pruebas de oídas</w:t>
      </w:r>
      <w:r w:rsidR="00DC50C8" w:rsidRPr="0006260F">
        <w:rPr>
          <w:rFonts w:ascii="Garamond" w:hAnsi="Garamond"/>
          <w:sz w:val="21"/>
          <w:szCs w:val="21"/>
          <w:lang w:val="es-ES_tradnl"/>
        </w:rPr>
        <w:t>.</w:t>
      </w:r>
    </w:p>
    <w:p w:rsidR="00B56AEB" w:rsidRPr="00311A65" w:rsidRDefault="00B56AEB">
      <w:pPr>
        <w:pStyle w:val="ListParagraph"/>
        <w:spacing w:after="200" w:line="276" w:lineRule="auto"/>
        <w:rPr>
          <w:rFonts w:ascii="Garamond" w:hAnsi="Garamond"/>
          <w:sz w:val="18"/>
          <w:szCs w:val="18"/>
          <w:lang w:val="es-ES_tradnl"/>
        </w:rPr>
      </w:pPr>
    </w:p>
    <w:p w:rsidR="00B56AEB" w:rsidRPr="0006260F" w:rsidRDefault="00B56AEB">
      <w:pPr>
        <w:pStyle w:val="ListParagraph"/>
        <w:numPr>
          <w:ilvl w:val="0"/>
          <w:numId w:val="7"/>
        </w:numPr>
        <w:tabs>
          <w:tab w:val="left" w:pos="720"/>
        </w:tabs>
        <w:spacing w:after="240"/>
        <w:ind w:hanging="360"/>
        <w:rPr>
          <w:rFonts w:ascii="Georgia" w:hAnsi="Georgia"/>
          <w:sz w:val="21"/>
          <w:szCs w:val="21"/>
          <w:lang w:val="es-ES_tradnl"/>
        </w:rPr>
      </w:pPr>
      <w:r w:rsidRPr="0006260F">
        <w:rPr>
          <w:rFonts w:ascii="Garamond" w:hAnsi="Garamond"/>
          <w:sz w:val="21"/>
          <w:szCs w:val="21"/>
          <w:lang w:val="es-ES_tradnl"/>
        </w:rPr>
        <w:t>Que lo represente un abogado u otro representante que no sea un abogado.</w:t>
      </w:r>
    </w:p>
    <w:tbl>
      <w:tblPr>
        <w:tblW w:w="0" w:type="auto"/>
        <w:tblInd w:w="288" w:type="dxa"/>
        <w:tblLook w:val="0000" w:firstRow="0" w:lastRow="0" w:firstColumn="0" w:lastColumn="0" w:noHBand="0" w:noVBand="0"/>
      </w:tblPr>
      <w:tblGrid>
        <w:gridCol w:w="4230"/>
      </w:tblGrid>
      <w:tr w:rsidR="00B56AEB" w:rsidRPr="0006260F" w:rsidTr="00311A65">
        <w:tc>
          <w:tcPr>
            <w:tcW w:w="4230" w:type="dxa"/>
            <w:tcBorders>
              <w:top w:val="single" w:sz="4" w:space="0" w:color="auto"/>
              <w:left w:val="single" w:sz="4" w:space="0" w:color="auto"/>
              <w:bottom w:val="single" w:sz="4" w:space="0" w:color="auto"/>
              <w:right w:val="single" w:sz="4" w:space="0" w:color="auto"/>
            </w:tcBorders>
            <w:shd w:val="clear" w:color="auto" w:fill="ED7D31" w:themeFill="accent2"/>
            <w:tcMar>
              <w:top w:w="0" w:type="dxa"/>
              <w:left w:w="108" w:type="dxa"/>
              <w:bottom w:w="0" w:type="dxa"/>
              <w:right w:w="108" w:type="dxa"/>
            </w:tcMar>
          </w:tcPr>
          <w:p w:rsidR="00B56AEB" w:rsidRPr="0006260F" w:rsidRDefault="00B56AEB">
            <w:pPr>
              <w:pStyle w:val="NoSpacing"/>
              <w:rPr>
                <w:rFonts w:ascii="Georgia" w:hAnsi="Georgia" w:cs="Times New Roman"/>
                <w:b/>
                <w:sz w:val="25"/>
                <w:szCs w:val="24"/>
                <w:lang w:val="es-ES_tradnl"/>
              </w:rPr>
            </w:pPr>
            <w:r w:rsidRPr="00311A65">
              <w:rPr>
                <w:rFonts w:ascii="Georgia" w:hAnsi="Georgia" w:cs="Times New Roman"/>
                <w:b/>
                <w:color w:val="FFFFFF" w:themeColor="background1"/>
                <w:sz w:val="24"/>
                <w:szCs w:val="24"/>
                <w:lang w:val="es-ES_tradnl"/>
              </w:rPr>
              <w:t>Después de la audiencia</w:t>
            </w:r>
          </w:p>
        </w:tc>
      </w:tr>
    </w:tbl>
    <w:p w:rsidR="00B56AEB" w:rsidRPr="00311A65" w:rsidRDefault="00B56AEB">
      <w:pPr>
        <w:pStyle w:val="NoSpacing"/>
        <w:ind w:firstLine="360"/>
        <w:rPr>
          <w:rFonts w:ascii="Georgia" w:hAnsi="Georgia" w:cs="Times New Roman"/>
          <w:b/>
          <w:i/>
          <w:sz w:val="16"/>
          <w:szCs w:val="18"/>
          <w:u w:val="single"/>
          <w:lang w:val="es-ES_tradnl"/>
        </w:rPr>
      </w:pPr>
    </w:p>
    <w:p w:rsidR="00B56AEB" w:rsidRPr="0006260F" w:rsidRDefault="00B56AEB">
      <w:pPr>
        <w:pStyle w:val="NoSpacing"/>
        <w:ind w:firstLine="360"/>
        <w:rPr>
          <w:rFonts w:ascii="Georgia" w:hAnsi="Georgia" w:cs="Times New Roman"/>
          <w:b/>
          <w:sz w:val="21"/>
          <w:szCs w:val="21"/>
          <w:lang w:val="es-ES_tradnl"/>
        </w:rPr>
      </w:pPr>
      <w:r w:rsidRPr="0006260F">
        <w:rPr>
          <w:rFonts w:ascii="Georgia" w:hAnsi="Georgia" w:cs="Times New Roman"/>
          <w:b/>
          <w:i/>
          <w:sz w:val="21"/>
          <w:szCs w:val="21"/>
          <w:u w:val="single"/>
          <w:lang w:val="es-ES_tradnl"/>
        </w:rPr>
        <w:t>Usted tiene derecho a</w:t>
      </w:r>
      <w:r w:rsidRPr="0006260F">
        <w:rPr>
          <w:rFonts w:ascii="Georgia" w:hAnsi="Georgia" w:cs="Times New Roman"/>
          <w:b/>
          <w:i/>
          <w:sz w:val="21"/>
          <w:szCs w:val="21"/>
          <w:lang w:val="es-ES_tradnl"/>
        </w:rPr>
        <w:t>:</w:t>
      </w:r>
    </w:p>
    <w:p w:rsidR="00B56AEB" w:rsidRPr="00AF6834" w:rsidRDefault="00B56AEB" w:rsidP="00AF6834">
      <w:pPr>
        <w:pStyle w:val="ListParagraph"/>
        <w:numPr>
          <w:ilvl w:val="0"/>
          <w:numId w:val="8"/>
        </w:numPr>
        <w:tabs>
          <w:tab w:val="left" w:pos="720"/>
        </w:tabs>
        <w:spacing w:after="240"/>
        <w:ind w:hanging="360"/>
        <w:rPr>
          <w:rFonts w:ascii="Garamond" w:hAnsi="Garamond"/>
          <w:sz w:val="21"/>
          <w:szCs w:val="21"/>
          <w:lang w:val="es-ES_tradnl"/>
        </w:rPr>
      </w:pPr>
      <w:r w:rsidRPr="0006260F">
        <w:rPr>
          <w:rFonts w:ascii="Garamond" w:hAnsi="Garamond"/>
          <w:sz w:val="21"/>
          <w:szCs w:val="21"/>
          <w:lang w:val="es-ES_tradnl"/>
        </w:rPr>
        <w:t>Que DCPS tome una decisión definitiva en un plazo de dos (2) días. Si no recibe una decisión definitiva en un plazo de dos (2) días lectivos, comuníquese con el superintendente de instrucción que corresponda para la escuela de su hijo.</w:t>
      </w:r>
    </w:p>
    <w:p w:rsidR="00B56AEB" w:rsidRPr="0006260F" w:rsidRDefault="00B56AEB">
      <w:pPr>
        <w:pStyle w:val="ListParagraph"/>
        <w:numPr>
          <w:ilvl w:val="0"/>
          <w:numId w:val="8"/>
        </w:numPr>
        <w:tabs>
          <w:tab w:val="left" w:pos="720"/>
        </w:tabs>
        <w:spacing w:after="240"/>
        <w:ind w:hanging="360"/>
        <w:rPr>
          <w:rFonts w:ascii="Georgia" w:hAnsi="Georgia"/>
          <w:b/>
          <w:sz w:val="22"/>
          <w:lang w:val="es-ES_tradnl"/>
        </w:rPr>
      </w:pPr>
      <w:r w:rsidRPr="0006260F">
        <w:rPr>
          <w:rFonts w:ascii="Garamond" w:hAnsi="Garamond"/>
          <w:sz w:val="21"/>
          <w:szCs w:val="21"/>
          <w:lang w:val="es-ES_tradnl"/>
        </w:rPr>
        <w:t xml:space="preserve">Apelar la decisión definitiva haciendo una solicitud, ya sea verbal o por escrito, ante </w:t>
      </w:r>
      <w:r w:rsidR="0006260F" w:rsidRPr="0006260F">
        <w:rPr>
          <w:rFonts w:ascii="Garamond" w:hAnsi="Garamond"/>
          <w:sz w:val="21"/>
          <w:szCs w:val="21"/>
          <w:lang w:val="es-ES_tradnl"/>
        </w:rPr>
        <w:t xml:space="preserve">el </w:t>
      </w:r>
      <w:r w:rsidR="0006260F" w:rsidRPr="00B34346">
        <w:rPr>
          <w:rFonts w:ascii="Garamond" w:hAnsi="Garamond"/>
          <w:sz w:val="21"/>
          <w:szCs w:val="21"/>
          <w:lang w:val="es-ES_tradnl"/>
        </w:rPr>
        <w:t xml:space="preserve">director de </w:t>
      </w:r>
      <w:r w:rsidRPr="00B34346">
        <w:rPr>
          <w:rFonts w:ascii="Garamond" w:hAnsi="Garamond"/>
          <w:sz w:val="21"/>
          <w:szCs w:val="21"/>
          <w:lang w:val="es-ES_tradnl"/>
        </w:rPr>
        <w:t xml:space="preserve">la Oficina </w:t>
      </w:r>
      <w:r w:rsidR="0006260F" w:rsidRPr="00B34346">
        <w:rPr>
          <w:rFonts w:ascii="Garamond" w:hAnsi="Garamond"/>
          <w:sz w:val="21"/>
          <w:szCs w:val="21"/>
          <w:lang w:val="es-ES_tradnl"/>
        </w:rPr>
        <w:t>de Equidad</w:t>
      </w:r>
      <w:r w:rsidRPr="0006260F">
        <w:rPr>
          <w:rFonts w:ascii="Garamond" w:hAnsi="Garamond"/>
          <w:sz w:val="21"/>
          <w:szCs w:val="21"/>
          <w:lang w:val="es-ES_tradnl"/>
        </w:rPr>
        <w:t xml:space="preserve"> en un plazo de cinco (5) días a partir de que reciba dicha decisión.</w:t>
      </w:r>
      <w:r w:rsidRPr="0006260F">
        <w:rPr>
          <w:rFonts w:ascii="Garamond" w:hAnsi="Garamond"/>
          <w:sz w:val="22"/>
          <w:lang w:val="es-ES_tradnl"/>
        </w:rPr>
        <w:t xml:space="preserve"> </w:t>
      </w:r>
    </w:p>
    <w:tbl>
      <w:tblPr>
        <w:tblW w:w="0" w:type="auto"/>
        <w:tblInd w:w="288" w:type="dxa"/>
        <w:tblLook w:val="0000" w:firstRow="0" w:lastRow="0" w:firstColumn="0" w:lastColumn="0" w:noHBand="0" w:noVBand="0"/>
      </w:tblPr>
      <w:tblGrid>
        <w:gridCol w:w="4230"/>
      </w:tblGrid>
      <w:tr w:rsidR="00B56AEB" w:rsidRPr="0006260F" w:rsidTr="00311A65">
        <w:tc>
          <w:tcPr>
            <w:tcW w:w="4230" w:type="dxa"/>
            <w:tcBorders>
              <w:top w:val="single" w:sz="4" w:space="0" w:color="auto"/>
              <w:left w:val="single" w:sz="4" w:space="0" w:color="auto"/>
              <w:bottom w:val="single" w:sz="4" w:space="0" w:color="auto"/>
              <w:right w:val="single" w:sz="4" w:space="0" w:color="auto"/>
            </w:tcBorders>
            <w:shd w:val="clear" w:color="auto" w:fill="ED7D31" w:themeFill="accent2"/>
            <w:tcMar>
              <w:top w:w="0" w:type="dxa"/>
              <w:left w:w="108" w:type="dxa"/>
              <w:bottom w:w="0" w:type="dxa"/>
              <w:right w:w="108" w:type="dxa"/>
            </w:tcMar>
          </w:tcPr>
          <w:p w:rsidR="00B56AEB" w:rsidRPr="0006260F" w:rsidRDefault="00B56AEB">
            <w:pPr>
              <w:pStyle w:val="NoSpacing"/>
              <w:rPr>
                <w:rFonts w:ascii="Georgia" w:hAnsi="Georgia" w:cs="Times New Roman"/>
                <w:b/>
                <w:sz w:val="25"/>
                <w:szCs w:val="24"/>
                <w:lang w:val="es-ES_tradnl"/>
              </w:rPr>
            </w:pPr>
            <w:r w:rsidRPr="00311A65">
              <w:rPr>
                <w:rFonts w:ascii="Georgia" w:hAnsi="Georgia" w:cs="Times New Roman"/>
                <w:b/>
                <w:color w:val="FFFFFF" w:themeColor="background1"/>
                <w:sz w:val="24"/>
                <w:szCs w:val="24"/>
                <w:lang w:val="es-ES_tradnl"/>
              </w:rPr>
              <w:t>Si se le pasa la audiencia</w:t>
            </w:r>
          </w:p>
        </w:tc>
      </w:tr>
    </w:tbl>
    <w:p w:rsidR="00B56AEB" w:rsidRPr="00311A65" w:rsidRDefault="00B56AEB">
      <w:pPr>
        <w:pStyle w:val="ListParagraph"/>
        <w:spacing w:after="240"/>
        <w:ind w:left="0" w:firstLine="360"/>
        <w:rPr>
          <w:rFonts w:ascii="Georgia" w:hAnsi="Georgia"/>
          <w:b/>
          <w:i/>
          <w:sz w:val="18"/>
          <w:szCs w:val="20"/>
          <w:u w:val="single"/>
          <w:lang w:val="es-ES_tradnl"/>
        </w:rPr>
      </w:pPr>
    </w:p>
    <w:p w:rsidR="00B56AEB" w:rsidRPr="0006260F" w:rsidRDefault="00B56AEB">
      <w:pPr>
        <w:pStyle w:val="ListParagraph"/>
        <w:spacing w:after="240"/>
        <w:ind w:left="0" w:firstLine="360"/>
        <w:rPr>
          <w:rFonts w:ascii="Georgia" w:hAnsi="Georgia"/>
          <w:b/>
          <w:i/>
          <w:sz w:val="21"/>
          <w:szCs w:val="21"/>
          <w:lang w:val="es-ES_tradnl"/>
        </w:rPr>
      </w:pPr>
      <w:r w:rsidRPr="0006260F">
        <w:rPr>
          <w:rFonts w:ascii="Georgia" w:hAnsi="Georgia"/>
          <w:b/>
          <w:i/>
          <w:sz w:val="21"/>
          <w:szCs w:val="21"/>
          <w:u w:val="single"/>
          <w:lang w:val="es-ES_tradnl"/>
        </w:rPr>
        <w:t>Usted puede</w:t>
      </w:r>
      <w:r w:rsidRPr="0006260F">
        <w:rPr>
          <w:rFonts w:ascii="Georgia" w:hAnsi="Georgia"/>
          <w:b/>
          <w:i/>
          <w:sz w:val="21"/>
          <w:szCs w:val="21"/>
          <w:lang w:val="es-ES_tradnl"/>
        </w:rPr>
        <w:t>:</w:t>
      </w:r>
    </w:p>
    <w:p w:rsidR="00B56AEB" w:rsidRPr="00AF6834" w:rsidRDefault="00B56AEB" w:rsidP="00AF6834">
      <w:pPr>
        <w:pStyle w:val="ListParagraph"/>
        <w:numPr>
          <w:ilvl w:val="0"/>
          <w:numId w:val="9"/>
        </w:numPr>
        <w:spacing w:after="240"/>
        <w:ind w:hanging="360"/>
        <w:rPr>
          <w:rFonts w:ascii="Garamond" w:hAnsi="Garamond"/>
          <w:i/>
          <w:sz w:val="21"/>
          <w:szCs w:val="21"/>
          <w:lang w:val="es-ES_tradnl"/>
        </w:rPr>
      </w:pPr>
      <w:r w:rsidRPr="0006260F">
        <w:rPr>
          <w:rFonts w:ascii="Garamond" w:hAnsi="Garamond"/>
          <w:sz w:val="21"/>
          <w:szCs w:val="21"/>
          <w:lang w:val="es-ES_tradnl"/>
        </w:rPr>
        <w:t xml:space="preserve">Si no comparece, pedirle por escrito a la OAH que fije una nueva fecha para la audiencia. La solicitud debe presentarla en un plazo de un (1) día lectivo a partir de la fecha de la audiencia que se le pasó. </w:t>
      </w:r>
    </w:p>
    <w:p w:rsidR="00B56AEB" w:rsidRPr="0006260F" w:rsidRDefault="00B56AEB">
      <w:pPr>
        <w:pStyle w:val="ListParagraph"/>
        <w:numPr>
          <w:ilvl w:val="0"/>
          <w:numId w:val="9"/>
        </w:numPr>
        <w:spacing w:after="240"/>
        <w:ind w:hanging="360"/>
        <w:rPr>
          <w:rFonts w:ascii="Georgia" w:hAnsi="Georgia"/>
          <w:i/>
          <w:sz w:val="21"/>
          <w:szCs w:val="21"/>
          <w:lang w:val="es-ES_tradnl"/>
        </w:rPr>
      </w:pPr>
      <w:r w:rsidRPr="0006260F">
        <w:rPr>
          <w:rFonts w:ascii="Garamond" w:hAnsi="Garamond"/>
          <w:sz w:val="21"/>
          <w:szCs w:val="21"/>
          <w:lang w:val="es-ES_tradnl"/>
        </w:rPr>
        <w:t>Si no recibió el aviso de audiencia, presentar una solicitud de reconsideración ante DCPS solicitando que remita de nuevo el caso a la OAH para fijar una nueva audiencia.</w:t>
      </w:r>
      <w:r w:rsidRPr="0006260F">
        <w:rPr>
          <w:rFonts w:ascii="Georgia" w:hAnsi="Georgia"/>
          <w:sz w:val="21"/>
          <w:szCs w:val="21"/>
          <w:lang w:val="es-ES_tradnl"/>
        </w:rPr>
        <w:t xml:space="preserve"> </w:t>
      </w:r>
    </w:p>
    <w:p w:rsidR="00B56AEB" w:rsidRPr="00311A65" w:rsidRDefault="00B56AEB">
      <w:pPr>
        <w:pStyle w:val="ListParagraph"/>
        <w:spacing w:after="240"/>
        <w:rPr>
          <w:rFonts w:ascii="Garamond" w:hAnsi="Garamond"/>
          <w:i/>
          <w:sz w:val="16"/>
          <w:szCs w:val="16"/>
          <w:lang w:val="es-ES_tradnl"/>
        </w:rPr>
      </w:pPr>
    </w:p>
    <w:p w:rsidR="00B56AEB" w:rsidRPr="0006260F" w:rsidRDefault="00B56AEB">
      <w:pPr>
        <w:pStyle w:val="ListParagraph"/>
        <w:spacing w:after="240"/>
        <w:ind w:left="0"/>
        <w:rPr>
          <w:rFonts w:ascii="Garamond" w:hAnsi="Garamond"/>
          <w:b/>
          <w:sz w:val="21"/>
          <w:szCs w:val="21"/>
          <w:lang w:val="es-ES_tradnl"/>
        </w:rPr>
      </w:pPr>
      <w:r w:rsidRPr="0006260F">
        <w:rPr>
          <w:rFonts w:ascii="Garamond" w:hAnsi="Garamond"/>
          <w:b/>
          <w:sz w:val="21"/>
          <w:szCs w:val="21"/>
          <w:lang w:val="es-ES_tradnl"/>
        </w:rPr>
        <w:t xml:space="preserve">¿Necesita más ayuda?  </w:t>
      </w:r>
      <w:r w:rsidRPr="0006260F">
        <w:rPr>
          <w:rFonts w:ascii="Garamond" w:hAnsi="Garamond"/>
          <w:sz w:val="21"/>
          <w:szCs w:val="21"/>
          <w:lang w:val="es-ES_tradnl"/>
        </w:rPr>
        <w:t xml:space="preserve">Llame o visite a </w:t>
      </w:r>
      <w:proofErr w:type="spellStart"/>
      <w:r w:rsidRPr="0006260F">
        <w:rPr>
          <w:rFonts w:ascii="Garamond" w:hAnsi="Garamond"/>
          <w:sz w:val="21"/>
          <w:szCs w:val="21"/>
          <w:lang w:val="es-ES_tradnl"/>
        </w:rPr>
        <w:t>Advocates</w:t>
      </w:r>
      <w:proofErr w:type="spellEnd"/>
      <w:r w:rsidRPr="0006260F">
        <w:rPr>
          <w:rFonts w:ascii="Garamond" w:hAnsi="Garamond"/>
          <w:sz w:val="21"/>
          <w:szCs w:val="21"/>
          <w:lang w:val="es-ES_tradnl"/>
        </w:rPr>
        <w:t xml:space="preserve"> </w:t>
      </w:r>
      <w:proofErr w:type="spellStart"/>
      <w:r w:rsidRPr="0006260F">
        <w:rPr>
          <w:rFonts w:ascii="Garamond" w:hAnsi="Garamond"/>
          <w:sz w:val="21"/>
          <w:szCs w:val="21"/>
          <w:lang w:val="es-ES_tradnl"/>
        </w:rPr>
        <w:t>for</w:t>
      </w:r>
      <w:proofErr w:type="spellEnd"/>
      <w:r w:rsidRPr="0006260F">
        <w:rPr>
          <w:rFonts w:ascii="Garamond" w:hAnsi="Garamond"/>
          <w:sz w:val="21"/>
          <w:szCs w:val="21"/>
          <w:lang w:val="es-ES_tradnl"/>
        </w:rPr>
        <w:t xml:space="preserve"> </w:t>
      </w:r>
      <w:proofErr w:type="spellStart"/>
      <w:r w:rsidRPr="0006260F">
        <w:rPr>
          <w:rFonts w:ascii="Garamond" w:hAnsi="Garamond"/>
          <w:sz w:val="21"/>
          <w:szCs w:val="21"/>
          <w:lang w:val="es-ES_tradnl"/>
        </w:rPr>
        <w:t>Justice</w:t>
      </w:r>
      <w:proofErr w:type="spellEnd"/>
      <w:r w:rsidRPr="0006260F">
        <w:rPr>
          <w:rFonts w:ascii="Garamond" w:hAnsi="Garamond"/>
          <w:sz w:val="21"/>
          <w:szCs w:val="21"/>
          <w:lang w:val="es-ES_tradnl"/>
        </w:rPr>
        <w:t xml:space="preserve"> and </w:t>
      </w:r>
      <w:proofErr w:type="spellStart"/>
      <w:r w:rsidRPr="0006260F">
        <w:rPr>
          <w:rFonts w:ascii="Garamond" w:hAnsi="Garamond"/>
          <w:sz w:val="21"/>
          <w:szCs w:val="21"/>
          <w:lang w:val="es-ES_tradnl"/>
        </w:rPr>
        <w:t>Education</w:t>
      </w:r>
      <w:proofErr w:type="spellEnd"/>
      <w:r w:rsidRPr="0006260F">
        <w:rPr>
          <w:rFonts w:ascii="Garamond" w:hAnsi="Garamond"/>
          <w:sz w:val="21"/>
          <w:szCs w:val="21"/>
          <w:lang w:val="es-ES_tradnl"/>
        </w:rPr>
        <w:t xml:space="preserve"> (AJE): (20</w:t>
      </w:r>
      <w:r w:rsidR="00781E7F" w:rsidRPr="0006260F">
        <w:rPr>
          <w:rFonts w:ascii="Garamond" w:hAnsi="Garamond"/>
          <w:sz w:val="21"/>
          <w:szCs w:val="21"/>
          <w:lang w:val="es-ES_tradnl"/>
        </w:rPr>
        <w:t xml:space="preserve">2) 678-8060 • </w:t>
      </w:r>
      <w:r w:rsidR="00B34346">
        <w:rPr>
          <w:rFonts w:ascii="Garamond" w:hAnsi="Garamond"/>
          <w:sz w:val="21"/>
          <w:szCs w:val="21"/>
          <w:lang w:val="es-ES_tradnl"/>
        </w:rPr>
        <w:t>1200 G</w:t>
      </w:r>
      <w:r w:rsidR="00781E7F" w:rsidRPr="0006260F">
        <w:rPr>
          <w:rFonts w:ascii="Garamond" w:hAnsi="Garamond"/>
          <w:sz w:val="21"/>
          <w:szCs w:val="21"/>
          <w:lang w:val="es-ES_tradnl"/>
        </w:rPr>
        <w:t xml:space="preserve"> Street, NW</w:t>
      </w:r>
      <w:r w:rsidR="00B34346">
        <w:rPr>
          <w:rFonts w:ascii="Garamond" w:hAnsi="Garamond"/>
          <w:sz w:val="21"/>
          <w:szCs w:val="21"/>
          <w:lang w:val="es-ES_tradnl"/>
        </w:rPr>
        <w:t>, Suite 725</w:t>
      </w:r>
      <w:r w:rsidRPr="0006260F">
        <w:rPr>
          <w:rFonts w:ascii="Garamond" w:hAnsi="Garamond"/>
          <w:sz w:val="21"/>
          <w:szCs w:val="21"/>
          <w:lang w:val="es-ES_tradnl"/>
        </w:rPr>
        <w:t xml:space="preserve"> • Washington, D.C. 2000</w:t>
      </w:r>
      <w:r w:rsidR="00B34346">
        <w:rPr>
          <w:rFonts w:ascii="Garamond" w:hAnsi="Garamond"/>
          <w:sz w:val="21"/>
          <w:szCs w:val="21"/>
          <w:lang w:val="es-ES_tradnl"/>
        </w:rPr>
        <w:t>5</w:t>
      </w:r>
      <w:r w:rsidRPr="0006260F">
        <w:rPr>
          <w:rFonts w:ascii="Garamond" w:hAnsi="Garamond"/>
          <w:sz w:val="21"/>
          <w:szCs w:val="21"/>
          <w:lang w:val="es-ES_tradnl"/>
        </w:rPr>
        <w:t xml:space="preserve">.  </w:t>
      </w:r>
      <w:r w:rsidRPr="0006260F">
        <w:rPr>
          <w:rFonts w:ascii="Garamond" w:hAnsi="Garamond"/>
          <w:b/>
          <w:sz w:val="21"/>
          <w:szCs w:val="21"/>
          <w:lang w:val="es-ES_tradnl"/>
        </w:rPr>
        <w:t xml:space="preserve">También puede recibir </w:t>
      </w:r>
      <w:r w:rsidR="00781E7F" w:rsidRPr="0006260F">
        <w:rPr>
          <w:rFonts w:ascii="Garamond" w:hAnsi="Garamond"/>
          <w:b/>
          <w:sz w:val="21"/>
          <w:szCs w:val="21"/>
          <w:lang w:val="es-ES_tradnl"/>
        </w:rPr>
        <w:t xml:space="preserve">la </w:t>
      </w:r>
      <w:r w:rsidRPr="0006260F">
        <w:rPr>
          <w:rFonts w:ascii="Garamond" w:hAnsi="Garamond"/>
          <w:b/>
          <w:sz w:val="21"/>
          <w:szCs w:val="21"/>
          <w:lang w:val="es-ES_tradnl"/>
        </w:rPr>
        <w:t xml:space="preserve">asesoría y representación legal </w:t>
      </w:r>
      <w:r w:rsidR="00781E7F" w:rsidRPr="0006260F">
        <w:rPr>
          <w:rFonts w:ascii="Garamond" w:hAnsi="Garamond"/>
          <w:b/>
          <w:sz w:val="21"/>
          <w:szCs w:val="21"/>
          <w:lang w:val="es-ES_tradnl"/>
        </w:rPr>
        <w:t xml:space="preserve">de un abogado de AJE </w:t>
      </w:r>
      <w:r w:rsidRPr="0006260F">
        <w:rPr>
          <w:rFonts w:ascii="Garamond" w:hAnsi="Garamond"/>
          <w:b/>
          <w:i/>
          <w:sz w:val="21"/>
          <w:szCs w:val="21"/>
          <w:lang w:val="es-ES_tradnl"/>
        </w:rPr>
        <w:t>in situ</w:t>
      </w:r>
      <w:r w:rsidRPr="0006260F">
        <w:rPr>
          <w:rFonts w:ascii="Garamond" w:hAnsi="Garamond"/>
          <w:b/>
          <w:sz w:val="21"/>
          <w:szCs w:val="21"/>
          <w:lang w:val="es-ES_tradnl"/>
        </w:rPr>
        <w:t xml:space="preserve"> el día de la audiencia, en la Oficina de Audiencias Administrativas</w:t>
      </w:r>
      <w:r w:rsidR="0006260F" w:rsidRPr="0006260F">
        <w:rPr>
          <w:rFonts w:ascii="Garamond" w:hAnsi="Garamond"/>
          <w:b/>
          <w:sz w:val="21"/>
          <w:szCs w:val="21"/>
          <w:lang w:val="es-ES_tradnl"/>
        </w:rPr>
        <w:t xml:space="preserve">. </w:t>
      </w:r>
      <w:r w:rsidR="0006260F" w:rsidRPr="00B34346">
        <w:rPr>
          <w:rFonts w:ascii="Garamond" w:hAnsi="Garamond"/>
          <w:b/>
          <w:sz w:val="21"/>
          <w:szCs w:val="21"/>
          <w:lang w:val="es-ES_tradnl"/>
        </w:rPr>
        <w:t xml:space="preserve">NO OBSTANTE, ES MEJOR COMUNICARSE CON </w:t>
      </w:r>
      <w:r w:rsidR="0006260F" w:rsidRPr="00B34346">
        <w:rPr>
          <w:rFonts w:ascii="Garamond" w:hAnsi="Garamond"/>
          <w:b/>
          <w:sz w:val="21"/>
          <w:szCs w:val="21"/>
          <w:lang w:val="es-ES_tradnl"/>
        </w:rPr>
        <w:lastRenderedPageBreak/>
        <w:t>AJE TAN PRONTO COMO SE ENTERE DE SU AUDIENCIA</w:t>
      </w:r>
      <w:r w:rsidR="0006260F" w:rsidRPr="0006260F">
        <w:rPr>
          <w:rFonts w:ascii="Garamond" w:hAnsi="Garamond"/>
          <w:b/>
          <w:sz w:val="21"/>
          <w:szCs w:val="21"/>
          <w:lang w:val="es-ES_tradnl"/>
        </w:rPr>
        <w:t>.</w:t>
      </w:r>
    </w:p>
    <w:sectPr w:rsidR="00B56AEB" w:rsidRPr="0006260F" w:rsidSect="00311A6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A70" w:rsidRDefault="00A73A70">
      <w:pPr>
        <w:spacing w:after="0" w:line="240" w:lineRule="auto"/>
      </w:pPr>
      <w:r>
        <w:separator/>
      </w:r>
    </w:p>
  </w:endnote>
  <w:endnote w:type="continuationSeparator" w:id="0">
    <w:p w:rsidR="00A73A70" w:rsidRDefault="00A7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3C" w:rsidRDefault="00CB7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EB" w:rsidRDefault="00B56AEB">
    <w:pPr>
      <w:pStyle w:val="Footer"/>
      <w:framePr w:w="169" w:wrap="auto" w:vAnchor="text" w:hAnchor="margin" w:x="5316" w:y="3"/>
      <w:spacing w:after="200" w:line="276" w:lineRule="auto"/>
      <w:rPr>
        <w:rStyle w:val="PageNumber"/>
        <w:rFonts w:ascii="Calibri" w:hAnsi="Calibri"/>
        <w:sz w:val="22"/>
      </w:rPr>
    </w:pPr>
  </w:p>
  <w:p w:rsidR="00B56AEB" w:rsidRDefault="00B56AEB">
    <w:pPr>
      <w:pStyle w:val="Footer"/>
      <w:spacing w:after="200" w:line="276" w:lineRule="auto"/>
      <w:jc w:val="right"/>
      <w:rPr>
        <w:rFonts w:ascii="Garamond" w:hAnsi="Garamond"/>
        <w:sz w:val="20"/>
      </w:rPr>
    </w:pPr>
    <w:r>
      <w:rPr>
        <w:rFonts w:ascii="Calibri" w:hAnsi="Calibri"/>
        <w:sz w:val="22"/>
      </w:rPr>
      <w:tab/>
      <w:t xml:space="preserve">     </w:t>
    </w:r>
    <w:r>
      <w:rPr>
        <w:rFonts w:ascii="Calibri" w:hAnsi="Calibri"/>
        <w:sz w:val="22"/>
      </w:rPr>
      <w:tab/>
      <w:t xml:space="preserve">                                      </w:t>
    </w:r>
    <w:proofErr w:type="spellStart"/>
    <w:r w:rsidR="00CB763C">
      <w:rPr>
        <w:rFonts w:ascii="Garamond" w:hAnsi="Garamond"/>
        <w:sz w:val="20"/>
      </w:rPr>
      <w:t>May</w:t>
    </w:r>
    <w:proofErr w:type="spellEnd"/>
    <w:r w:rsidR="0034334C">
      <w:rPr>
        <w:rFonts w:ascii="Garamond" w:hAnsi="Garamond"/>
        <w:sz w:val="20"/>
      </w:rPr>
      <w:t xml:space="preserve"> de 201</w:t>
    </w:r>
    <w:r w:rsidR="00CB763C">
      <w:rPr>
        <w:rFonts w:ascii="Garamond" w:hAnsi="Garamond"/>
        <w:sz w:val="20"/>
      </w:rPr>
      <w:t>9</w:t>
    </w:r>
    <w:r>
      <w:rPr>
        <w:rFonts w:ascii="Garamond" w:hAnsi="Garamond"/>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3C" w:rsidRDefault="00CB7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A70" w:rsidRDefault="00A73A70">
      <w:pPr>
        <w:spacing w:after="0" w:line="240" w:lineRule="auto"/>
      </w:pPr>
      <w:r>
        <w:separator/>
      </w:r>
    </w:p>
  </w:footnote>
  <w:footnote w:type="continuationSeparator" w:id="0">
    <w:p w:rsidR="00A73A70" w:rsidRDefault="00A7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3C" w:rsidRDefault="00CB76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3C" w:rsidRDefault="00CB763C">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E86" w:rsidRPr="006E5E86" w:rsidRDefault="006E5E86" w:rsidP="00CB454B">
    <w:pPr>
      <w:spacing w:after="0" w:line="240" w:lineRule="auto"/>
      <w:ind w:left="1710"/>
      <w:rPr>
        <w:rFonts w:ascii="Cambria" w:hAnsi="Cambria"/>
        <w:b/>
        <w:color w:val="1F497D"/>
        <w:sz w:val="44"/>
        <w:szCs w:val="44"/>
        <w:lang w:val="en-US"/>
      </w:rPr>
    </w:pPr>
    <w:r w:rsidRPr="0006177A">
      <w:rPr>
        <w:noProof/>
        <w:lang w:val="en-US" w:eastAsia="en-US"/>
      </w:rPr>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1015365" cy="1033145"/>
          <wp:effectExtent l="0" t="0" r="0" b="0"/>
          <wp:wrapNone/>
          <wp:docPr id="2" name="Picture 2" descr="1479059_LA008_30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479059_LA008_300[1]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65" cy="1033145"/>
                  </a:xfrm>
                  <a:prstGeom prst="rect">
                    <a:avLst/>
                  </a:prstGeom>
                  <a:noFill/>
                </pic:spPr>
              </pic:pic>
            </a:graphicData>
          </a:graphic>
          <wp14:sizeRelH relativeFrom="page">
            <wp14:pctWidth>0</wp14:pctWidth>
          </wp14:sizeRelH>
          <wp14:sizeRelV relativeFrom="page">
            <wp14:pctHeight>0</wp14:pctHeight>
          </wp14:sizeRelV>
        </wp:anchor>
      </w:drawing>
    </w:r>
    <w:r w:rsidR="00CB454B">
      <w:rPr>
        <w:rFonts w:ascii="Cambria" w:hAnsi="Cambria"/>
        <w:b/>
        <w:color w:val="1F497D"/>
        <w:sz w:val="44"/>
        <w:szCs w:val="44"/>
        <w:lang w:val="en-US"/>
      </w:rPr>
      <w:t xml:space="preserve"> </w:t>
    </w:r>
    <w:r w:rsidRPr="006E5E86">
      <w:rPr>
        <w:rFonts w:ascii="Cambria" w:hAnsi="Cambria"/>
        <w:b/>
        <w:color w:val="1F497D"/>
        <w:sz w:val="44"/>
        <w:szCs w:val="44"/>
        <w:lang w:val="en-US"/>
      </w:rPr>
      <w:t>Advocates for Justice and Education, Inc.</w:t>
    </w:r>
  </w:p>
  <w:p w:rsidR="006E5E86" w:rsidRPr="00CB454B" w:rsidRDefault="00CB454B" w:rsidP="00CB454B">
    <w:pPr>
      <w:ind w:left="1710"/>
      <w:rPr>
        <w:rFonts w:ascii="Cambria" w:hAnsi="Cambria" w:cs="Times New Roman"/>
        <w:b/>
        <w:color w:val="C00000"/>
        <w:sz w:val="20"/>
        <w:szCs w:val="20"/>
        <w:lang w:val="es-US"/>
      </w:rPr>
    </w:pPr>
    <w:r>
      <w:rPr>
        <w:rFonts w:ascii="Cambria" w:hAnsi="Cambria" w:cs="Arial"/>
        <w:i/>
        <w:color w:val="C00000"/>
        <w:sz w:val="20"/>
        <w:szCs w:val="20"/>
        <w:lang w:val="es-US"/>
      </w:rPr>
      <w:t xml:space="preserve">  </w:t>
    </w:r>
    <w:r w:rsidR="006E5E86" w:rsidRPr="00CB454B">
      <w:rPr>
        <w:rFonts w:ascii="Cambria" w:hAnsi="Cambria" w:cs="Arial"/>
        <w:i/>
        <w:color w:val="C00000"/>
        <w:sz w:val="20"/>
        <w:szCs w:val="20"/>
        <w:lang w:val="es-US"/>
      </w:rPr>
      <w:t>El</w:t>
    </w:r>
    <w:r w:rsidR="006E5E86" w:rsidRPr="00CB454B">
      <w:rPr>
        <w:rFonts w:ascii="Cambria" w:hAnsi="Cambria" w:cs="Times New Roman"/>
        <w:b/>
        <w:color w:val="C00000"/>
        <w:sz w:val="20"/>
        <w:szCs w:val="20"/>
        <w:lang w:val="es-US"/>
      </w:rPr>
      <w:t xml:space="preserve"> </w:t>
    </w:r>
    <w:r w:rsidR="006E5E86" w:rsidRPr="00CB454B">
      <w:rPr>
        <w:rFonts w:ascii="Cambria" w:hAnsi="Cambria" w:cs="Arial"/>
        <w:i/>
        <w:color w:val="C00000"/>
        <w:sz w:val="20"/>
        <w:szCs w:val="20"/>
        <w:lang w:val="es-US"/>
      </w:rPr>
      <w:t>Centro de Capacitación e Información para Padres de Washington DC designado a nivel federal</w:t>
    </w:r>
  </w:p>
  <w:p w:rsidR="006E5E86" w:rsidRPr="006E5E86" w:rsidRDefault="006E5E86" w:rsidP="006E5E86">
    <w:pPr>
      <w:spacing w:after="0" w:line="240" w:lineRule="auto"/>
      <w:ind w:left="1710"/>
      <w:jc w:val="center"/>
      <w:rPr>
        <w:rFonts w:ascii="Georgia" w:hAnsi="Georgia"/>
        <w:b/>
        <w:color w:val="1F497D"/>
        <w:sz w:val="26"/>
        <w:szCs w:val="26"/>
        <w:lang w:val="en-US"/>
      </w:rPr>
    </w:pPr>
    <w:proofErr w:type="spellStart"/>
    <w:r w:rsidRPr="006E5E86">
      <w:rPr>
        <w:rFonts w:ascii="Georgia" w:hAnsi="Georgia"/>
        <w:b/>
        <w:color w:val="1F497D"/>
        <w:sz w:val="26"/>
        <w:szCs w:val="26"/>
        <w:lang w:val="en-US"/>
      </w:rPr>
      <w:t>Conozca</w:t>
    </w:r>
    <w:proofErr w:type="spellEnd"/>
    <w:r w:rsidRPr="006E5E86">
      <w:rPr>
        <w:rFonts w:ascii="Georgia" w:hAnsi="Georgia"/>
        <w:b/>
        <w:color w:val="1F497D"/>
        <w:sz w:val="26"/>
        <w:szCs w:val="26"/>
        <w:lang w:val="en-US"/>
      </w:rPr>
      <w:t xml:space="preserve"> </w:t>
    </w:r>
    <w:proofErr w:type="spellStart"/>
    <w:r w:rsidRPr="006E5E86">
      <w:rPr>
        <w:rFonts w:ascii="Georgia" w:hAnsi="Georgia"/>
        <w:b/>
        <w:color w:val="1F497D"/>
        <w:sz w:val="26"/>
        <w:szCs w:val="26"/>
        <w:lang w:val="en-US"/>
      </w:rPr>
      <w:t>sus</w:t>
    </w:r>
    <w:proofErr w:type="spellEnd"/>
    <w:r w:rsidRPr="006E5E86">
      <w:rPr>
        <w:rFonts w:ascii="Georgia" w:hAnsi="Georgia"/>
        <w:b/>
        <w:color w:val="1F497D"/>
        <w:sz w:val="26"/>
        <w:szCs w:val="26"/>
        <w:lang w:val="en-US"/>
      </w:rPr>
      <w:t xml:space="preserve"> derechos: </w:t>
    </w:r>
  </w:p>
  <w:p w:rsidR="006E5E86" w:rsidRPr="006E5E86" w:rsidRDefault="006E5E86" w:rsidP="006E5E86">
    <w:pPr>
      <w:spacing w:after="0" w:line="240" w:lineRule="auto"/>
      <w:ind w:left="1710"/>
      <w:jc w:val="center"/>
      <w:rPr>
        <w:rFonts w:ascii="Georgia" w:hAnsi="Georgia"/>
        <w:b/>
        <w:color w:val="1F497D"/>
        <w:sz w:val="26"/>
        <w:szCs w:val="26"/>
        <w:lang w:val="en-US"/>
      </w:rPr>
    </w:pPr>
    <w:proofErr w:type="spellStart"/>
    <w:r w:rsidRPr="006E5E86">
      <w:rPr>
        <w:rFonts w:ascii="Georgia" w:hAnsi="Georgia"/>
        <w:b/>
        <w:color w:val="1F497D"/>
        <w:sz w:val="26"/>
        <w:szCs w:val="26"/>
        <w:lang w:val="en-US"/>
      </w:rPr>
      <w:t>Audiencias</w:t>
    </w:r>
    <w:proofErr w:type="spellEnd"/>
    <w:r w:rsidRPr="006E5E86">
      <w:rPr>
        <w:rFonts w:ascii="Georgia" w:hAnsi="Georgia"/>
        <w:b/>
        <w:color w:val="1F497D"/>
        <w:sz w:val="26"/>
        <w:szCs w:val="26"/>
        <w:lang w:val="en-US"/>
      </w:rPr>
      <w:t xml:space="preserve"> </w:t>
    </w:r>
    <w:proofErr w:type="spellStart"/>
    <w:r w:rsidRPr="006E5E86">
      <w:rPr>
        <w:rFonts w:ascii="Georgia" w:hAnsi="Georgia"/>
        <w:b/>
        <w:color w:val="1F497D"/>
        <w:sz w:val="26"/>
        <w:szCs w:val="26"/>
        <w:lang w:val="en-US"/>
      </w:rPr>
      <w:t>disciplinarias</w:t>
    </w:r>
    <w:proofErr w:type="spellEnd"/>
    <w:r w:rsidRPr="006E5E86">
      <w:rPr>
        <w:rFonts w:ascii="Georgia" w:hAnsi="Georgia"/>
        <w:b/>
        <w:color w:val="1F497D"/>
        <w:sz w:val="26"/>
        <w:szCs w:val="26"/>
        <w:lang w:val="en-US"/>
      </w:rPr>
      <w:t xml:space="preserve"> de las </w:t>
    </w:r>
    <w:proofErr w:type="spellStart"/>
    <w:r w:rsidRPr="006E5E86">
      <w:rPr>
        <w:rFonts w:ascii="Georgia" w:hAnsi="Georgia"/>
        <w:b/>
        <w:color w:val="1F497D"/>
        <w:sz w:val="26"/>
        <w:szCs w:val="26"/>
        <w:lang w:val="en-US"/>
      </w:rPr>
      <w:t>Escuelas</w:t>
    </w:r>
    <w:proofErr w:type="spellEnd"/>
    <w:r w:rsidRPr="006E5E86">
      <w:rPr>
        <w:rFonts w:ascii="Georgia" w:hAnsi="Georgia"/>
        <w:b/>
        <w:color w:val="1F497D"/>
        <w:sz w:val="26"/>
        <w:szCs w:val="26"/>
        <w:lang w:val="en-US"/>
      </w:rPr>
      <w:t xml:space="preserve"> </w:t>
    </w:r>
    <w:proofErr w:type="spellStart"/>
    <w:r w:rsidRPr="006E5E86">
      <w:rPr>
        <w:rFonts w:ascii="Georgia" w:hAnsi="Georgia"/>
        <w:b/>
        <w:color w:val="1F497D"/>
        <w:sz w:val="26"/>
        <w:szCs w:val="26"/>
        <w:lang w:val="en-US"/>
      </w:rPr>
      <w:t>Públicas</w:t>
    </w:r>
    <w:proofErr w:type="spellEnd"/>
  </w:p>
  <w:p w:rsidR="006E5E86" w:rsidRPr="006E5E86" w:rsidRDefault="006E5E86" w:rsidP="006E5E86">
    <w:pPr>
      <w:spacing w:after="0" w:line="240" w:lineRule="auto"/>
      <w:ind w:left="1710"/>
      <w:jc w:val="center"/>
      <w:rPr>
        <w:rFonts w:ascii="Georgia" w:hAnsi="Georgia"/>
        <w:b/>
        <w:color w:val="1F497D"/>
        <w:sz w:val="26"/>
        <w:szCs w:val="26"/>
        <w:lang w:val="en-US"/>
      </w:rPr>
    </w:pPr>
    <w:proofErr w:type="gramStart"/>
    <w:r w:rsidRPr="006E5E86">
      <w:rPr>
        <w:rFonts w:ascii="Georgia" w:hAnsi="Georgia"/>
        <w:b/>
        <w:color w:val="1F497D"/>
        <w:sz w:val="26"/>
        <w:szCs w:val="26"/>
        <w:lang w:val="en-US"/>
      </w:rPr>
      <w:t>del</w:t>
    </w:r>
    <w:proofErr w:type="gramEnd"/>
    <w:r w:rsidRPr="006E5E86">
      <w:rPr>
        <w:rFonts w:ascii="Georgia" w:hAnsi="Georgia"/>
        <w:b/>
        <w:color w:val="1F497D"/>
        <w:sz w:val="26"/>
        <w:szCs w:val="26"/>
        <w:lang w:val="en-US"/>
      </w:rPr>
      <w:t xml:space="preserve"> Distrito de Columbia para </w:t>
    </w:r>
    <w:proofErr w:type="spellStart"/>
    <w:r w:rsidRPr="006E5E86">
      <w:rPr>
        <w:rFonts w:ascii="Georgia" w:hAnsi="Georgia"/>
        <w:b/>
        <w:color w:val="1F497D"/>
        <w:sz w:val="26"/>
        <w:szCs w:val="26"/>
        <w:lang w:val="en-US"/>
      </w:rPr>
      <w:t>los</w:t>
    </w:r>
    <w:proofErr w:type="spellEnd"/>
    <w:r w:rsidRPr="006E5E86">
      <w:rPr>
        <w:rFonts w:ascii="Georgia" w:hAnsi="Georgia"/>
        <w:b/>
        <w:color w:val="1F497D"/>
        <w:sz w:val="26"/>
        <w:szCs w:val="26"/>
        <w:lang w:val="en-US"/>
      </w:rPr>
      <w:t xml:space="preserve"> </w:t>
    </w:r>
    <w:proofErr w:type="spellStart"/>
    <w:r w:rsidRPr="006E5E86">
      <w:rPr>
        <w:rFonts w:ascii="Georgia" w:hAnsi="Georgia"/>
        <w:b/>
        <w:color w:val="1F497D"/>
        <w:sz w:val="26"/>
        <w:szCs w:val="26"/>
        <w:lang w:val="en-US"/>
      </w:rPr>
      <w:t>Estudiantes</w:t>
    </w:r>
    <w:proofErr w:type="spellEnd"/>
  </w:p>
  <w:p w:rsidR="00B56AEB" w:rsidRPr="006E5E86" w:rsidRDefault="006E5E86" w:rsidP="006E5E86">
    <w:pPr>
      <w:tabs>
        <w:tab w:val="center" w:pos="4320"/>
        <w:tab w:val="right" w:pos="8640"/>
      </w:tabs>
      <w:ind w:left="1710"/>
      <w:jc w:val="center"/>
      <w:rPr>
        <w:rFonts w:ascii="Georgia" w:hAnsi="Georgia"/>
        <w:b/>
        <w:color w:val="1F497D"/>
        <w:sz w:val="26"/>
        <w:szCs w:val="26"/>
        <w:lang w:val="en-US"/>
      </w:rPr>
    </w:pPr>
    <w:r w:rsidRPr="006E5E86">
      <w:rPr>
        <w:rFonts w:ascii="Georgia" w:hAnsi="Georgia"/>
        <w:b/>
        <w:color w:val="1F497D"/>
        <w:sz w:val="26"/>
        <w:szCs w:val="26"/>
        <w:lang w:val="en-US"/>
      </w:rPr>
      <w:t>(</w:t>
    </w:r>
    <w:proofErr w:type="spellStart"/>
    <w:proofErr w:type="gramStart"/>
    <w:r w:rsidRPr="006E5E86">
      <w:rPr>
        <w:rFonts w:ascii="Georgia" w:hAnsi="Georgia"/>
        <w:b/>
        <w:color w:val="1F497D"/>
        <w:sz w:val="26"/>
        <w:szCs w:val="26"/>
        <w:lang w:val="en-US"/>
      </w:rPr>
      <w:t>suspensiones</w:t>
    </w:r>
    <w:proofErr w:type="spellEnd"/>
    <w:proofErr w:type="gramEnd"/>
    <w:r w:rsidRPr="006E5E86">
      <w:rPr>
        <w:rFonts w:ascii="Georgia" w:hAnsi="Georgia"/>
        <w:b/>
        <w:color w:val="1F497D"/>
        <w:sz w:val="26"/>
        <w:szCs w:val="26"/>
        <w:lang w:val="en-US"/>
      </w:rPr>
      <w:t xml:space="preserve"> </w:t>
    </w:r>
    <w:proofErr w:type="spellStart"/>
    <w:r w:rsidRPr="006E5E86">
      <w:rPr>
        <w:rFonts w:ascii="Georgia" w:hAnsi="Georgia"/>
        <w:b/>
        <w:color w:val="1F497D"/>
        <w:sz w:val="26"/>
        <w:szCs w:val="26"/>
        <w:lang w:val="en-US"/>
      </w:rPr>
      <w:t>prolongadas</w:t>
    </w:r>
    <w:proofErr w:type="spellEnd"/>
    <w:r w:rsidRPr="006E5E86">
      <w:rPr>
        <w:rFonts w:ascii="Georgia" w:hAnsi="Georgia"/>
        <w:b/>
        <w:color w:val="1F497D"/>
        <w:sz w:val="26"/>
        <w:szCs w:val="26"/>
        <w:lang w:val="en-US"/>
      </w:rPr>
      <w:t xml:space="preserve"> y </w:t>
    </w:r>
    <w:proofErr w:type="spellStart"/>
    <w:r w:rsidRPr="006E5E86">
      <w:rPr>
        <w:rFonts w:ascii="Georgia" w:hAnsi="Georgia"/>
        <w:b/>
        <w:color w:val="1F497D"/>
        <w:sz w:val="26"/>
        <w:szCs w:val="26"/>
        <w:lang w:val="en-US"/>
      </w:rPr>
      <w:t>expulsiones</w:t>
    </w:r>
    <w:proofErr w:type="spellEnd"/>
    <w:r w:rsidRPr="006E5E86">
      <w:rPr>
        <w:rFonts w:ascii="Georgia" w:hAnsi="Georgia"/>
        <w:b/>
        <w:color w:val="1F497D"/>
        <w:sz w:val="26"/>
        <w:szCs w:val="26"/>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8906936"/>
    <w:lvl w:ilvl="0">
      <w:start w:val="1"/>
      <w:numFmt w:val="bullet"/>
      <w:pStyle w:val="ListBullet"/>
      <w:lvlText w:val=""/>
      <w:lvlJc w:val="left"/>
      <w:rPr>
        <w:rFonts w:ascii="Symbol" w:hAnsi="Symbol" w:cs="Symbol"/>
      </w:rPr>
    </w:lvl>
  </w:abstractNum>
  <w:abstractNum w:abstractNumId="1">
    <w:nsid w:val="08154CE6"/>
    <w:multiLevelType w:val="multilevel"/>
    <w:tmpl w:val="8D3A93CC"/>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2">
    <w:nsid w:val="0AD965FF"/>
    <w:multiLevelType w:val="multilevel"/>
    <w:tmpl w:val="D05E57D0"/>
    <w:lvl w:ilvl="0">
      <w:start w:val="1"/>
      <w:numFmt w:val="bullet"/>
      <w:lvlText w:val=""/>
      <w:lvlJc w:val="left"/>
      <w:rPr>
        <w:rFonts w:ascii="Wingdings" w:hAnsi="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3">
    <w:nsid w:val="167366CB"/>
    <w:multiLevelType w:val="multilevel"/>
    <w:tmpl w:val="87622C32"/>
    <w:lvl w:ilvl="0">
      <w:start w:val="1"/>
      <w:numFmt w:val="bullet"/>
      <w:lvlText w:val=""/>
      <w:lvlJc w:val="left"/>
      <w:rPr>
        <w:rFonts w:ascii="Symbol" w:hAnsi="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4">
    <w:nsid w:val="1D9923AC"/>
    <w:multiLevelType w:val="multilevel"/>
    <w:tmpl w:val="48008A42"/>
    <w:lvl w:ilvl="0">
      <w:start w:val="1"/>
      <w:numFmt w:val="bullet"/>
      <w:lvlText w:val=""/>
      <w:lvlJc w:val="left"/>
      <w:rPr>
        <w:rFonts w:ascii="Symbol" w:hAnsi="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5">
    <w:nsid w:val="223E5B9B"/>
    <w:multiLevelType w:val="multilevel"/>
    <w:tmpl w:val="22B60D88"/>
    <w:lvl w:ilvl="0">
      <w:start w:val="1"/>
      <w:numFmt w:val="bullet"/>
      <w:lvlText w:val=""/>
      <w:lvlJc w:val="left"/>
      <w:rPr>
        <w:rFonts w:ascii="Wingdings" w:hAnsi="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6">
    <w:nsid w:val="27DE257E"/>
    <w:multiLevelType w:val="multilevel"/>
    <w:tmpl w:val="FF96B8AE"/>
    <w:lvl w:ilvl="0">
      <w:start w:val="1"/>
      <w:numFmt w:val="bullet"/>
      <w:lvlText w:val=""/>
      <w:lvlJc w:val="left"/>
      <w:rPr>
        <w:rFonts w:ascii="Symbol" w:hAnsi="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7">
    <w:nsid w:val="2A937325"/>
    <w:multiLevelType w:val="multilevel"/>
    <w:tmpl w:val="49C0BE82"/>
    <w:lvl w:ilvl="0">
      <w:start w:val="3"/>
      <w:numFmt w:val="upperLetter"/>
      <w:lvlText w:val="%1."/>
      <w:lvlJc w:val="left"/>
      <w:rPr>
        <w:rFonts w:ascii="Times New Roman" w:hAnsi="Times New Roman"/>
        <w:b/>
      </w:rPr>
    </w:lvl>
    <w:lvl w:ilvl="1">
      <w:start w:val="1"/>
      <w:numFmt w:val="lowerLetter"/>
      <w:lvlText w:val="%2."/>
      <w:lvlJc w:val="left"/>
      <w:rPr>
        <w:rFonts w:ascii="Times New Roman" w:hAnsi="Times New Roman"/>
      </w:rPr>
    </w:lvl>
    <w:lvl w:ilvl="2">
      <w:start w:val="1"/>
      <w:numFmt w:val="lowerRoman"/>
      <w:lvlText w:val="%3."/>
      <w:lvlJc w:val="left"/>
      <w:rPr>
        <w:rFonts w:ascii="Times New Roman" w:hAnsi="Times New Roman"/>
      </w:rPr>
    </w:lvl>
    <w:lvl w:ilvl="3">
      <w:start w:val="1"/>
      <w:numFmt w:val="decimal"/>
      <w:lvlText w:val="%4."/>
      <w:lvlJc w:val="left"/>
      <w:rPr>
        <w:rFonts w:ascii="Times New Roman" w:hAnsi="Times New Roman"/>
      </w:rPr>
    </w:lvl>
    <w:lvl w:ilvl="4">
      <w:start w:val="1"/>
      <w:numFmt w:val="lowerLetter"/>
      <w:lvlText w:val="%5."/>
      <w:lvlJc w:val="left"/>
      <w:rPr>
        <w:rFonts w:ascii="Times New Roman" w:hAnsi="Times New Roman"/>
      </w:rPr>
    </w:lvl>
    <w:lvl w:ilvl="5">
      <w:start w:val="1"/>
      <w:numFmt w:val="lowerRoman"/>
      <w:lvlText w:val="%6."/>
      <w:lvlJc w:val="left"/>
      <w:rPr>
        <w:rFonts w:ascii="Times New Roman" w:hAnsi="Times New Roman"/>
      </w:rPr>
    </w:lvl>
    <w:lvl w:ilvl="6">
      <w:start w:val="1"/>
      <w:numFmt w:val="decimal"/>
      <w:lvlText w:val="%7."/>
      <w:lvlJc w:val="left"/>
      <w:rPr>
        <w:rFonts w:ascii="Times New Roman" w:hAnsi="Times New Roman"/>
      </w:rPr>
    </w:lvl>
    <w:lvl w:ilvl="7">
      <w:start w:val="1"/>
      <w:numFmt w:val="lowerLetter"/>
      <w:lvlText w:val="%8."/>
      <w:lvlJc w:val="left"/>
      <w:rPr>
        <w:rFonts w:ascii="Times New Roman" w:hAnsi="Times New Roman"/>
      </w:rPr>
    </w:lvl>
    <w:lvl w:ilvl="8">
      <w:start w:val="1"/>
      <w:numFmt w:val="lowerRoman"/>
      <w:lvlText w:val="%9."/>
      <w:lvlJc w:val="left"/>
      <w:rPr>
        <w:rFonts w:ascii="Times New Roman" w:hAnsi="Times New Roman"/>
      </w:rPr>
    </w:lvl>
  </w:abstractNum>
  <w:abstractNum w:abstractNumId="8">
    <w:nsid w:val="31804071"/>
    <w:multiLevelType w:val="multilevel"/>
    <w:tmpl w:val="0712BF88"/>
    <w:lvl w:ilvl="0">
      <w:start w:val="1"/>
      <w:numFmt w:val="bullet"/>
      <w:lvlText w:val=""/>
      <w:lvlJc w:val="left"/>
      <w:rPr>
        <w:rFonts w:ascii="Symbol" w:hAnsi="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9">
    <w:nsid w:val="31C46167"/>
    <w:multiLevelType w:val="multilevel"/>
    <w:tmpl w:val="DE0AC7E8"/>
    <w:lvl w:ilvl="0">
      <w:start w:val="1"/>
      <w:numFmt w:val="bullet"/>
      <w:lvlText w:val=""/>
      <w:lvlJc w:val="left"/>
      <w:rPr>
        <w:rFonts w:ascii="Symbol" w:hAnsi="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10">
    <w:nsid w:val="4D0163B6"/>
    <w:multiLevelType w:val="multilevel"/>
    <w:tmpl w:val="8FBA7EC0"/>
    <w:lvl w:ilvl="0">
      <w:start w:val="1"/>
      <w:numFmt w:val="bullet"/>
      <w:lvlText w:val=""/>
      <w:lvlJc w:val="left"/>
      <w:rPr>
        <w:rFonts w:ascii="Wingdings" w:hAnsi="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11">
    <w:nsid w:val="4F152174"/>
    <w:multiLevelType w:val="multilevel"/>
    <w:tmpl w:val="F41C8FD8"/>
    <w:lvl w:ilvl="0">
      <w:start w:val="1"/>
      <w:numFmt w:val="bullet"/>
      <w:lvlText w:val=""/>
      <w:lvlJc w:val="left"/>
      <w:rPr>
        <w:rFonts w:ascii="Symbol" w:hAnsi="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12">
    <w:nsid w:val="57CD1BF9"/>
    <w:multiLevelType w:val="multilevel"/>
    <w:tmpl w:val="CD6083B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nsid w:val="5E4E169B"/>
    <w:multiLevelType w:val="multilevel"/>
    <w:tmpl w:val="F5DC999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nsid w:val="610C5C8D"/>
    <w:multiLevelType w:val="multilevel"/>
    <w:tmpl w:val="BE9620AC"/>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nsid w:val="648043F0"/>
    <w:multiLevelType w:val="multilevel"/>
    <w:tmpl w:val="2E0E1DE0"/>
    <w:lvl w:ilvl="0">
      <w:start w:val="1"/>
      <w:numFmt w:val="bullet"/>
      <w:lvlText w:val=""/>
      <w:lvlJc w:val="left"/>
      <w:rPr>
        <w:rFonts w:ascii="Symbol" w:hAnsi="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16">
    <w:nsid w:val="64A310ED"/>
    <w:multiLevelType w:val="multilevel"/>
    <w:tmpl w:val="75107FEE"/>
    <w:lvl w:ilvl="0">
      <w:start w:val="1"/>
      <w:numFmt w:val="bullet"/>
      <w:lvlText w:val=""/>
      <w:lvlJc w:val="left"/>
      <w:rPr>
        <w:rFonts w:ascii="Symbol" w:hAnsi="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17">
    <w:nsid w:val="657E6BAF"/>
    <w:multiLevelType w:val="multilevel"/>
    <w:tmpl w:val="D1847030"/>
    <w:lvl w:ilvl="0">
      <w:start w:val="1"/>
      <w:numFmt w:val="bullet"/>
      <w:lvlText w:val=""/>
      <w:lvlJc w:val="left"/>
      <w:rPr>
        <w:rFonts w:ascii="Symbol" w:hAnsi="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18">
    <w:nsid w:val="66FB77CD"/>
    <w:multiLevelType w:val="multilevel"/>
    <w:tmpl w:val="A9A46BB4"/>
    <w:lvl w:ilvl="0">
      <w:start w:val="1"/>
      <w:numFmt w:val="bullet"/>
      <w:lvlText w:val=""/>
      <w:lvlJc w:val="left"/>
      <w:rPr>
        <w:rFonts w:ascii="Wingdings" w:hAnsi="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abstractNum w:abstractNumId="19">
    <w:nsid w:val="72CD6C50"/>
    <w:multiLevelType w:val="multilevel"/>
    <w:tmpl w:val="034E0486"/>
    <w:lvl w:ilvl="0">
      <w:start w:val="1"/>
      <w:numFmt w:val="bullet"/>
      <w:lvlText w:val=""/>
      <w:lvlJc w:val="left"/>
      <w:rPr>
        <w:rFonts w:ascii="Symbol" w:hAnsi="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rPr>
    </w:lvl>
  </w:abstractNum>
  <w:num w:numId="1">
    <w:abstractNumId w:val="0"/>
  </w:num>
  <w:num w:numId="2">
    <w:abstractNumId w:val="0"/>
  </w:num>
  <w:num w:numId="3">
    <w:abstractNumId w:val="3"/>
  </w:num>
  <w:num w:numId="4">
    <w:abstractNumId w:val="15"/>
  </w:num>
  <w:num w:numId="5">
    <w:abstractNumId w:val="16"/>
  </w:num>
  <w:num w:numId="6">
    <w:abstractNumId w:val="1"/>
  </w:num>
  <w:num w:numId="7">
    <w:abstractNumId w:val="8"/>
  </w:num>
  <w:num w:numId="8">
    <w:abstractNumId w:val="9"/>
  </w:num>
  <w:num w:numId="9">
    <w:abstractNumId w:val="17"/>
  </w:num>
  <w:num w:numId="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F3"/>
    <w:rsid w:val="0006260F"/>
    <w:rsid w:val="002E40D9"/>
    <w:rsid w:val="00311A65"/>
    <w:rsid w:val="00326E49"/>
    <w:rsid w:val="0033553F"/>
    <w:rsid w:val="0034334C"/>
    <w:rsid w:val="003A1E30"/>
    <w:rsid w:val="004E2835"/>
    <w:rsid w:val="0050624B"/>
    <w:rsid w:val="005220C1"/>
    <w:rsid w:val="00650DBE"/>
    <w:rsid w:val="00681491"/>
    <w:rsid w:val="006E5E86"/>
    <w:rsid w:val="00762D8E"/>
    <w:rsid w:val="00775BB3"/>
    <w:rsid w:val="00781E7F"/>
    <w:rsid w:val="007C26D4"/>
    <w:rsid w:val="007F5A99"/>
    <w:rsid w:val="0083427E"/>
    <w:rsid w:val="008B2DD9"/>
    <w:rsid w:val="008D1EC0"/>
    <w:rsid w:val="00960996"/>
    <w:rsid w:val="00962025"/>
    <w:rsid w:val="009C117F"/>
    <w:rsid w:val="00A205A9"/>
    <w:rsid w:val="00A73A70"/>
    <w:rsid w:val="00AC274C"/>
    <w:rsid w:val="00AF6834"/>
    <w:rsid w:val="00B34346"/>
    <w:rsid w:val="00B34AFC"/>
    <w:rsid w:val="00B427F5"/>
    <w:rsid w:val="00B56AEB"/>
    <w:rsid w:val="00C91486"/>
    <w:rsid w:val="00CB454B"/>
    <w:rsid w:val="00CB763C"/>
    <w:rsid w:val="00D2162D"/>
    <w:rsid w:val="00DC50C8"/>
    <w:rsid w:val="00DD638C"/>
    <w:rsid w:val="00FB7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0" w:unhideWhenUsed="0" w:qFormat="1"/>
    <w:lsdException w:name="Balloon Text"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200" w:line="276" w:lineRule="auto"/>
    </w:pPr>
    <w:rPr>
      <w:rFonts w:cs="Calibri"/>
      <w:sz w:val="22"/>
      <w:szCs w:val="22"/>
      <w:lang w:val="es-SV"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spacing w:after="0" w:line="240" w:lineRule="auto"/>
    </w:pPr>
    <w:rPr>
      <w:rFonts w:ascii="Times New Roman" w:hAnsi="Times New Roman" w:cs="Times New Roman"/>
      <w:sz w:val="24"/>
      <w:szCs w:val="24"/>
    </w:rPr>
  </w:style>
  <w:style w:type="character" w:customStyle="1" w:styleId="HeaderChar">
    <w:name w:val="Header Char"/>
    <w:link w:val="Header"/>
    <w:uiPriority w:val="99"/>
    <w:rPr>
      <w:rFonts w:ascii="Calibri" w:hAnsi="Calibri" w:cs="Calibri"/>
      <w:lang w:val="en-US"/>
    </w:rPr>
  </w:style>
  <w:style w:type="paragraph" w:styleId="Footer">
    <w:name w:val="footer"/>
    <w:basedOn w:val="Normal"/>
    <w:link w:val="FooterChar"/>
    <w:uiPriority w:val="99"/>
    <w:pPr>
      <w:tabs>
        <w:tab w:val="center" w:pos="4320"/>
        <w:tab w:val="right" w:pos="8640"/>
      </w:tabs>
      <w:spacing w:after="0" w:line="240" w:lineRule="auto"/>
    </w:pPr>
    <w:rPr>
      <w:rFonts w:ascii="Times New Roman" w:hAnsi="Times New Roman" w:cs="Times New Roman"/>
      <w:sz w:val="24"/>
      <w:szCs w:val="24"/>
    </w:rPr>
  </w:style>
  <w:style w:type="character" w:customStyle="1" w:styleId="FooterChar">
    <w:name w:val="Footer Char"/>
    <w:link w:val="Footer"/>
    <w:uiPriority w:val="99"/>
    <w:semiHidden/>
    <w:rPr>
      <w:rFonts w:ascii="Calibri" w:hAnsi="Calibri" w:cs="Calibri"/>
      <w:lang w:val="en-US"/>
    </w:rPr>
  </w:style>
  <w:style w:type="paragraph" w:styleId="FootnoteText">
    <w:name w:val="footnote text"/>
    <w:basedOn w:val="Normal"/>
    <w:link w:val="FootnoteTextChar"/>
    <w:uiPriority w:val="99"/>
    <w:pPr>
      <w:spacing w:after="0" w:line="240" w:lineRule="auto"/>
    </w:pPr>
    <w:rPr>
      <w:rFonts w:ascii="Times New Roman" w:hAnsi="Times New Roman" w:cs="Times New Roman"/>
      <w:sz w:val="20"/>
      <w:szCs w:val="20"/>
    </w:rPr>
  </w:style>
  <w:style w:type="character" w:customStyle="1" w:styleId="FootnoteTextChar">
    <w:name w:val="Footnote Text Char"/>
    <w:link w:val="FootnoteText"/>
    <w:uiPriority w:val="99"/>
    <w:semiHidden/>
    <w:rPr>
      <w:rFonts w:ascii="Calibri" w:hAnsi="Calibri" w:cs="Calibri"/>
      <w:sz w:val="20"/>
      <w:szCs w:val="20"/>
      <w:lang w:val="en-US"/>
    </w:rPr>
  </w:style>
  <w:style w:type="character" w:styleId="FootnoteReference">
    <w:name w:val="footnote reference"/>
    <w:uiPriority w:val="99"/>
    <w:rPr>
      <w:vertAlign w:val="superscript"/>
    </w:rPr>
  </w:style>
  <w:style w:type="character" w:styleId="PageNumber">
    <w:name w:val="page number"/>
    <w:uiPriority w:val="99"/>
  </w:style>
  <w:style w:type="paragraph" w:styleId="ListBullet">
    <w:name w:val="List Bullet"/>
    <w:basedOn w:val="Normal"/>
    <w:uiPriority w:val="99"/>
    <w:pPr>
      <w:numPr>
        <w:numId w:val="1"/>
      </w:numPr>
      <w:spacing w:after="0" w:line="240" w:lineRule="auto"/>
    </w:pPr>
    <w:rPr>
      <w:rFonts w:ascii="Times New Roman" w:hAnsi="Times New Roman" w:cs="Times New Roman"/>
      <w:sz w:val="24"/>
      <w:szCs w:val="24"/>
    </w:rPr>
  </w:style>
  <w:style w:type="paragraph" w:styleId="ListParagraph">
    <w:name w:val="List Paragraph"/>
    <w:basedOn w:val="Normal"/>
    <w:uiPriority w:val="99"/>
    <w:qFormat/>
    <w:pPr>
      <w:spacing w:after="0" w:line="240" w:lineRule="auto"/>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lang w:val="en-US"/>
    </w:rPr>
  </w:style>
  <w:style w:type="paragraph" w:styleId="NoSpacing">
    <w:name w:val="No Spacing"/>
    <w:uiPriority w:val="99"/>
    <w:qFormat/>
    <w:pPr>
      <w:widowControl w:val="0"/>
      <w:autoSpaceDE w:val="0"/>
      <w:autoSpaceDN w:val="0"/>
      <w:adjustRightInd w:val="0"/>
    </w:pPr>
    <w:rPr>
      <w:rFonts w:cs="Calibri"/>
      <w:sz w:val="22"/>
      <w:szCs w:val="22"/>
      <w:lang w:eastAsia="es-SV"/>
    </w:rPr>
  </w:style>
  <w:style w:type="paragraph" w:styleId="Quote">
    <w:name w:val="Quote"/>
    <w:basedOn w:val="Normal"/>
    <w:next w:val="Normal"/>
    <w:link w:val="QuoteChar"/>
    <w:uiPriority w:val="99"/>
    <w:qFormat/>
    <w:pPr>
      <w:spacing w:after="0" w:line="240" w:lineRule="auto"/>
    </w:pPr>
    <w:rPr>
      <w:i/>
      <w:iCs/>
      <w:color w:val="000000"/>
      <w:sz w:val="24"/>
      <w:szCs w:val="24"/>
    </w:rPr>
  </w:style>
  <w:style w:type="character" w:customStyle="1" w:styleId="QuoteChar">
    <w:name w:val="Quote Char"/>
    <w:link w:val="Quote"/>
    <w:uiPriority w:val="99"/>
    <w:rPr>
      <w:rFonts w:ascii="Calibri" w:hAnsi="Calibri" w:cs="Calibri"/>
      <w:i/>
      <w:iCs/>
      <w:color w:val="000000"/>
      <w:sz w:val="22"/>
      <w:szCs w:val="22"/>
    </w:rPr>
  </w:style>
  <w:style w:type="character" w:styleId="Emphasis">
    <w:name w:val="Emphasis"/>
    <w:qFormat/>
    <w:rsid w:val="006E5E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0" w:unhideWhenUsed="0" w:qFormat="1"/>
    <w:lsdException w:name="Balloon Text"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200" w:line="276" w:lineRule="auto"/>
    </w:pPr>
    <w:rPr>
      <w:rFonts w:cs="Calibri"/>
      <w:sz w:val="22"/>
      <w:szCs w:val="22"/>
      <w:lang w:val="es-SV"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spacing w:after="0" w:line="240" w:lineRule="auto"/>
    </w:pPr>
    <w:rPr>
      <w:rFonts w:ascii="Times New Roman" w:hAnsi="Times New Roman" w:cs="Times New Roman"/>
      <w:sz w:val="24"/>
      <w:szCs w:val="24"/>
    </w:rPr>
  </w:style>
  <w:style w:type="character" w:customStyle="1" w:styleId="HeaderChar">
    <w:name w:val="Header Char"/>
    <w:link w:val="Header"/>
    <w:uiPriority w:val="99"/>
    <w:rPr>
      <w:rFonts w:ascii="Calibri" w:hAnsi="Calibri" w:cs="Calibri"/>
      <w:lang w:val="en-US"/>
    </w:rPr>
  </w:style>
  <w:style w:type="paragraph" w:styleId="Footer">
    <w:name w:val="footer"/>
    <w:basedOn w:val="Normal"/>
    <w:link w:val="FooterChar"/>
    <w:uiPriority w:val="99"/>
    <w:pPr>
      <w:tabs>
        <w:tab w:val="center" w:pos="4320"/>
        <w:tab w:val="right" w:pos="8640"/>
      </w:tabs>
      <w:spacing w:after="0" w:line="240" w:lineRule="auto"/>
    </w:pPr>
    <w:rPr>
      <w:rFonts w:ascii="Times New Roman" w:hAnsi="Times New Roman" w:cs="Times New Roman"/>
      <w:sz w:val="24"/>
      <w:szCs w:val="24"/>
    </w:rPr>
  </w:style>
  <w:style w:type="character" w:customStyle="1" w:styleId="FooterChar">
    <w:name w:val="Footer Char"/>
    <w:link w:val="Footer"/>
    <w:uiPriority w:val="99"/>
    <w:semiHidden/>
    <w:rPr>
      <w:rFonts w:ascii="Calibri" w:hAnsi="Calibri" w:cs="Calibri"/>
      <w:lang w:val="en-US"/>
    </w:rPr>
  </w:style>
  <w:style w:type="paragraph" w:styleId="FootnoteText">
    <w:name w:val="footnote text"/>
    <w:basedOn w:val="Normal"/>
    <w:link w:val="FootnoteTextChar"/>
    <w:uiPriority w:val="99"/>
    <w:pPr>
      <w:spacing w:after="0" w:line="240" w:lineRule="auto"/>
    </w:pPr>
    <w:rPr>
      <w:rFonts w:ascii="Times New Roman" w:hAnsi="Times New Roman" w:cs="Times New Roman"/>
      <w:sz w:val="20"/>
      <w:szCs w:val="20"/>
    </w:rPr>
  </w:style>
  <w:style w:type="character" w:customStyle="1" w:styleId="FootnoteTextChar">
    <w:name w:val="Footnote Text Char"/>
    <w:link w:val="FootnoteText"/>
    <w:uiPriority w:val="99"/>
    <w:semiHidden/>
    <w:rPr>
      <w:rFonts w:ascii="Calibri" w:hAnsi="Calibri" w:cs="Calibri"/>
      <w:sz w:val="20"/>
      <w:szCs w:val="20"/>
      <w:lang w:val="en-US"/>
    </w:rPr>
  </w:style>
  <w:style w:type="character" w:styleId="FootnoteReference">
    <w:name w:val="footnote reference"/>
    <w:uiPriority w:val="99"/>
    <w:rPr>
      <w:vertAlign w:val="superscript"/>
    </w:rPr>
  </w:style>
  <w:style w:type="character" w:styleId="PageNumber">
    <w:name w:val="page number"/>
    <w:uiPriority w:val="99"/>
  </w:style>
  <w:style w:type="paragraph" w:styleId="ListBullet">
    <w:name w:val="List Bullet"/>
    <w:basedOn w:val="Normal"/>
    <w:uiPriority w:val="99"/>
    <w:pPr>
      <w:numPr>
        <w:numId w:val="1"/>
      </w:numPr>
      <w:spacing w:after="0" w:line="240" w:lineRule="auto"/>
    </w:pPr>
    <w:rPr>
      <w:rFonts w:ascii="Times New Roman" w:hAnsi="Times New Roman" w:cs="Times New Roman"/>
      <w:sz w:val="24"/>
      <w:szCs w:val="24"/>
    </w:rPr>
  </w:style>
  <w:style w:type="paragraph" w:styleId="ListParagraph">
    <w:name w:val="List Paragraph"/>
    <w:basedOn w:val="Normal"/>
    <w:uiPriority w:val="99"/>
    <w:qFormat/>
    <w:pPr>
      <w:spacing w:after="0" w:line="240" w:lineRule="auto"/>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lang w:val="en-US"/>
    </w:rPr>
  </w:style>
  <w:style w:type="paragraph" w:styleId="NoSpacing">
    <w:name w:val="No Spacing"/>
    <w:uiPriority w:val="99"/>
    <w:qFormat/>
    <w:pPr>
      <w:widowControl w:val="0"/>
      <w:autoSpaceDE w:val="0"/>
      <w:autoSpaceDN w:val="0"/>
      <w:adjustRightInd w:val="0"/>
    </w:pPr>
    <w:rPr>
      <w:rFonts w:cs="Calibri"/>
      <w:sz w:val="22"/>
      <w:szCs w:val="22"/>
      <w:lang w:eastAsia="es-SV"/>
    </w:rPr>
  </w:style>
  <w:style w:type="paragraph" w:styleId="Quote">
    <w:name w:val="Quote"/>
    <w:basedOn w:val="Normal"/>
    <w:next w:val="Normal"/>
    <w:link w:val="QuoteChar"/>
    <w:uiPriority w:val="99"/>
    <w:qFormat/>
    <w:pPr>
      <w:spacing w:after="0" w:line="240" w:lineRule="auto"/>
    </w:pPr>
    <w:rPr>
      <w:i/>
      <w:iCs/>
      <w:color w:val="000000"/>
      <w:sz w:val="24"/>
      <w:szCs w:val="24"/>
    </w:rPr>
  </w:style>
  <w:style w:type="character" w:customStyle="1" w:styleId="QuoteChar">
    <w:name w:val="Quote Char"/>
    <w:link w:val="Quote"/>
    <w:uiPriority w:val="99"/>
    <w:rPr>
      <w:rFonts w:ascii="Calibri" w:hAnsi="Calibri" w:cs="Calibri"/>
      <w:i/>
      <w:iCs/>
      <w:color w:val="000000"/>
      <w:sz w:val="22"/>
      <w:szCs w:val="22"/>
    </w:rPr>
  </w:style>
  <w:style w:type="character" w:styleId="Emphasis">
    <w:name w:val="Emphasis"/>
    <w:qFormat/>
    <w:rsid w:val="006E5E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2019-06-04T22:12:00Z</dcterms:created>
  <dcterms:modified xsi:type="dcterms:W3CDTF">2019-06-04T22:12:00Z</dcterms:modified>
</cp:coreProperties>
</file>