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62C73" w:rsidRPr="003F101B" w14:paraId="5F713C54" w14:textId="77777777" w:rsidTr="008D7DCC">
        <w:trPr>
          <w:trHeight w:val="242"/>
        </w:trPr>
        <w:tc>
          <w:tcPr>
            <w:tcW w:w="11016" w:type="dxa"/>
            <w:shd w:val="clear" w:color="auto" w:fill="C00000"/>
          </w:tcPr>
          <w:p w14:paraId="6E9EDC2A" w14:textId="2ED2F65B" w:rsidR="00962C73" w:rsidRPr="008A2276" w:rsidRDefault="009525A9" w:rsidP="00D44E41">
            <w:pPr>
              <w:spacing w:after="0" w:line="240" w:lineRule="auto"/>
              <w:rPr>
                <w:rFonts w:ascii="Georgia" w:hAnsi="Georgia"/>
                <w:b/>
              </w:rPr>
            </w:pPr>
            <w:r w:rsidRPr="008D7DCC">
              <w:rPr>
                <w:rFonts w:ascii="Georgia" w:hAnsi="Georgia"/>
                <w:b/>
                <w:bCs/>
                <w:color w:val="FFFFFF" w:themeColor="background1"/>
                <w:sz w:val="24"/>
                <w:szCs w:val="26"/>
              </w:rPr>
              <w:t>Protecciones de procedimiento adicionales para los estudiantes con discapacidades</w:t>
            </w:r>
          </w:p>
        </w:tc>
      </w:tr>
    </w:tbl>
    <w:p w14:paraId="47CD3A47" w14:textId="77777777" w:rsidR="000D2382" w:rsidRPr="00261D5D" w:rsidRDefault="000D2382" w:rsidP="009525A9">
      <w:pPr>
        <w:pStyle w:val="NoSpacing"/>
        <w:rPr>
          <w:rFonts w:ascii="Garamond" w:hAnsi="Garamond"/>
          <w:sz w:val="12"/>
          <w:szCs w:val="21"/>
        </w:rPr>
      </w:pPr>
    </w:p>
    <w:p w14:paraId="53B257E5" w14:textId="40BE97A4" w:rsidR="00FD57CA" w:rsidRPr="00261D5D" w:rsidRDefault="009525A9" w:rsidP="009525A9">
      <w:pPr>
        <w:pStyle w:val="NoSpacing"/>
        <w:rPr>
          <w:rFonts w:ascii="Garamond" w:hAnsi="Garamond"/>
          <w:sz w:val="21"/>
          <w:szCs w:val="21"/>
        </w:rPr>
      </w:pPr>
      <w:r w:rsidRPr="00261D5D">
        <w:rPr>
          <w:rFonts w:ascii="Garamond" w:hAnsi="Garamond"/>
          <w:sz w:val="21"/>
          <w:szCs w:val="21"/>
        </w:rPr>
        <w:t xml:space="preserve">Por favor, lea nuestros </w:t>
      </w:r>
      <w:r w:rsidR="00261D5D">
        <w:rPr>
          <w:rFonts w:ascii="Garamond" w:hAnsi="Garamond"/>
          <w:sz w:val="21"/>
          <w:szCs w:val="21"/>
        </w:rPr>
        <w:t>demás</w:t>
      </w:r>
      <w:r w:rsidRPr="00261D5D">
        <w:rPr>
          <w:rFonts w:ascii="Garamond" w:hAnsi="Garamond"/>
          <w:sz w:val="21"/>
          <w:szCs w:val="21"/>
        </w:rPr>
        <w:t xml:space="preserve"> folletos que </w:t>
      </w:r>
      <w:r w:rsidR="00261D5D">
        <w:rPr>
          <w:rFonts w:ascii="Garamond" w:hAnsi="Garamond"/>
          <w:sz w:val="21"/>
          <w:szCs w:val="21"/>
        </w:rPr>
        <w:t>abordan</w:t>
      </w:r>
      <w:r w:rsidRPr="00261D5D">
        <w:rPr>
          <w:rFonts w:ascii="Garamond" w:hAnsi="Garamond"/>
          <w:sz w:val="21"/>
          <w:szCs w:val="21"/>
        </w:rPr>
        <w:t xml:space="preserve"> los derechos de procedimiento que tie</w:t>
      </w:r>
      <w:r w:rsidR="00261D5D">
        <w:rPr>
          <w:rFonts w:ascii="Garamond" w:hAnsi="Garamond"/>
          <w:sz w:val="21"/>
          <w:szCs w:val="21"/>
        </w:rPr>
        <w:t>ne todo estudiante que enfrenta</w:t>
      </w:r>
      <w:r w:rsidRPr="00261D5D">
        <w:rPr>
          <w:rFonts w:ascii="Garamond" w:hAnsi="Garamond"/>
          <w:sz w:val="21"/>
          <w:szCs w:val="21"/>
        </w:rPr>
        <w:t xml:space="preserve"> una suspensión o la expulsión en las escuelas públicas independientes (</w:t>
      </w:r>
      <w:r w:rsidRPr="00261D5D">
        <w:rPr>
          <w:rFonts w:ascii="Garamond" w:hAnsi="Garamond"/>
          <w:i/>
          <w:iCs/>
          <w:sz w:val="21"/>
          <w:szCs w:val="21"/>
        </w:rPr>
        <w:t>charter</w:t>
      </w:r>
      <w:r w:rsidRPr="00261D5D">
        <w:rPr>
          <w:rFonts w:ascii="Garamond" w:hAnsi="Garamond"/>
          <w:sz w:val="21"/>
          <w:szCs w:val="21"/>
        </w:rPr>
        <w:t>) y las Escuelas Públicas del Distrito de Columbia (DC</w:t>
      </w:r>
      <w:r w:rsidR="00261D5D">
        <w:rPr>
          <w:rFonts w:ascii="Garamond" w:hAnsi="Garamond"/>
          <w:sz w:val="21"/>
          <w:szCs w:val="21"/>
        </w:rPr>
        <w:t xml:space="preserve">PS, por sus siglas en inglés). </w:t>
      </w:r>
      <w:r w:rsidRPr="00261D5D">
        <w:rPr>
          <w:rFonts w:ascii="Garamond" w:hAnsi="Garamond"/>
          <w:sz w:val="21"/>
          <w:szCs w:val="21"/>
        </w:rPr>
        <w:t>Para los estudiantes con discapacidades, tanto las escuelas públicas independientes (</w:t>
      </w:r>
      <w:proofErr w:type="spellStart"/>
      <w:r w:rsidRPr="00261D5D">
        <w:rPr>
          <w:rFonts w:ascii="Garamond" w:hAnsi="Garamond"/>
          <w:i/>
          <w:iCs/>
          <w:sz w:val="21"/>
          <w:szCs w:val="21"/>
        </w:rPr>
        <w:t>charter</w:t>
      </w:r>
      <w:proofErr w:type="spellEnd"/>
      <w:r w:rsidRPr="00261D5D">
        <w:rPr>
          <w:rFonts w:ascii="Garamond" w:hAnsi="Garamond"/>
          <w:sz w:val="21"/>
          <w:szCs w:val="21"/>
        </w:rPr>
        <w:t xml:space="preserve">) como </w:t>
      </w:r>
      <w:r w:rsidR="00261D5D">
        <w:rPr>
          <w:rFonts w:ascii="Garamond" w:hAnsi="Garamond"/>
          <w:sz w:val="21"/>
          <w:szCs w:val="21"/>
        </w:rPr>
        <w:t xml:space="preserve">las </w:t>
      </w:r>
      <w:r w:rsidRPr="00261D5D">
        <w:rPr>
          <w:rFonts w:ascii="Garamond" w:hAnsi="Garamond"/>
          <w:sz w:val="21"/>
          <w:szCs w:val="21"/>
        </w:rPr>
        <w:t>de DCPS de la ciudad deben brindar las protecciones de procedimiento adicionales que se describen en este recurso, a menos que se indique lo contrario.</w:t>
      </w:r>
    </w:p>
    <w:p w14:paraId="17D224DF" w14:textId="6D529E3B" w:rsidR="007370D7" w:rsidRPr="00261D5D" w:rsidRDefault="008E3187" w:rsidP="00261D5D">
      <w:pPr>
        <w:pStyle w:val="NoSpacing"/>
        <w:numPr>
          <w:ilvl w:val="0"/>
          <w:numId w:val="4"/>
        </w:numPr>
        <w:spacing w:before="80"/>
        <w:rPr>
          <w:rFonts w:ascii="Garamond" w:hAnsi="Garamond"/>
          <w:sz w:val="21"/>
          <w:szCs w:val="21"/>
        </w:rPr>
      </w:pPr>
      <w:r w:rsidRPr="00261D5D">
        <w:rPr>
          <w:rFonts w:ascii="Garamond" w:hAnsi="Garamond"/>
          <w:sz w:val="21"/>
          <w:szCs w:val="21"/>
        </w:rPr>
        <w:t>La ley de Educación para Personas con Discapacidades (IDEA, por sus siglas en inglés) es una legislación federal que se asegura de que todos los niños con discapacidades reciban una educación pública adecuada.  Ésta exige protecciones de procedimiento adicionales para los estudiantes con discapacidades (en ciertas circunstancias) que enfrentan una suspensión o la expulsión de la escuela.</w:t>
      </w:r>
    </w:p>
    <w:p w14:paraId="4E2E7D36" w14:textId="52F69353" w:rsidR="008B4127" w:rsidRPr="00261D5D" w:rsidRDefault="00365CCA" w:rsidP="00261D5D">
      <w:pPr>
        <w:pStyle w:val="NoSpacing"/>
        <w:numPr>
          <w:ilvl w:val="0"/>
          <w:numId w:val="4"/>
        </w:numPr>
        <w:spacing w:before="80"/>
        <w:ind w:right="630"/>
        <w:rPr>
          <w:rFonts w:ascii="Garamond" w:hAnsi="Garamond"/>
          <w:sz w:val="21"/>
          <w:szCs w:val="21"/>
        </w:rPr>
      </w:pPr>
      <w:r w:rsidRPr="00261D5D">
        <w:rPr>
          <w:rFonts w:ascii="Garamond" w:hAnsi="Garamond"/>
          <w:sz w:val="21"/>
          <w:szCs w:val="21"/>
        </w:rPr>
        <w:t xml:space="preserve">Si una escuela quiere excluir a los estudiantes por más de diez (10) días </w:t>
      </w:r>
      <w:r w:rsidR="00261D5D">
        <w:rPr>
          <w:rFonts w:ascii="Garamond" w:hAnsi="Garamond"/>
          <w:sz w:val="21"/>
          <w:szCs w:val="21"/>
        </w:rPr>
        <w:t>lectivos</w:t>
      </w:r>
      <w:r w:rsidRPr="00261D5D">
        <w:rPr>
          <w:rFonts w:ascii="Garamond" w:hAnsi="Garamond"/>
          <w:sz w:val="21"/>
          <w:szCs w:val="21"/>
        </w:rPr>
        <w:t>, entonces corresponderán protecciones adicionales.</w:t>
      </w:r>
    </w:p>
    <w:p w14:paraId="040FBA47" w14:textId="77777777" w:rsidR="008B4127" w:rsidRPr="00261D5D" w:rsidRDefault="008B4127" w:rsidP="00261D5D">
      <w:pPr>
        <w:pStyle w:val="NoSpacing"/>
        <w:numPr>
          <w:ilvl w:val="0"/>
          <w:numId w:val="4"/>
        </w:numPr>
        <w:spacing w:before="80"/>
        <w:rPr>
          <w:rFonts w:ascii="Garamond" w:hAnsi="Garamond"/>
          <w:sz w:val="21"/>
          <w:szCs w:val="21"/>
        </w:rPr>
      </w:pPr>
      <w:r w:rsidRPr="00261D5D">
        <w:rPr>
          <w:rFonts w:ascii="Garamond" w:hAnsi="Garamond"/>
          <w:sz w:val="21"/>
          <w:szCs w:val="21"/>
        </w:rPr>
        <w:t>Si un estudiante ha sido sometido a una serie de ceses que ascienden a un total de más de diez (10) días lectivos en un solo año escolar por un comportamiento similar que constituye una pauta, entonces corresponderán protecciones adicionales.</w:t>
      </w:r>
    </w:p>
    <w:p w14:paraId="63F984A3" w14:textId="674C42E2" w:rsidR="001F2FF5" w:rsidRPr="00261D5D" w:rsidRDefault="00EE2BD9" w:rsidP="00261D5D">
      <w:pPr>
        <w:pStyle w:val="NoSpacing"/>
        <w:numPr>
          <w:ilvl w:val="0"/>
          <w:numId w:val="4"/>
        </w:numPr>
        <w:spacing w:before="80"/>
        <w:rPr>
          <w:rFonts w:ascii="Garamond" w:hAnsi="Garamond"/>
          <w:sz w:val="21"/>
          <w:szCs w:val="21"/>
        </w:rPr>
      </w:pPr>
      <w:r w:rsidRPr="00261D5D">
        <w:rPr>
          <w:rFonts w:ascii="Garamond" w:hAnsi="Garamond"/>
          <w:sz w:val="21"/>
          <w:szCs w:val="21"/>
        </w:rPr>
        <w:t>Como las expulsiones son exclusiones permanentes, los estudiantes con discapacidades que enfrentan una siempre deberán recibir estas protecciones adicionales.</w:t>
      </w:r>
    </w:p>
    <w:p w14:paraId="18C37A14" w14:textId="155C7DA2" w:rsidR="00F46E40" w:rsidRPr="00261D5D" w:rsidRDefault="007370D7" w:rsidP="00261D5D">
      <w:pPr>
        <w:pStyle w:val="NoSpacing"/>
        <w:numPr>
          <w:ilvl w:val="0"/>
          <w:numId w:val="4"/>
        </w:numPr>
        <w:spacing w:before="80"/>
        <w:rPr>
          <w:rFonts w:ascii="Garamond" w:hAnsi="Garamond"/>
          <w:sz w:val="21"/>
          <w:szCs w:val="21"/>
        </w:rPr>
      </w:pPr>
      <w:r w:rsidRPr="00261D5D">
        <w:rPr>
          <w:rFonts w:ascii="Garamond" w:hAnsi="Garamond"/>
          <w:sz w:val="21"/>
          <w:szCs w:val="21"/>
        </w:rPr>
        <w:t xml:space="preserve">Los ceses (o las pautas de ellas) por más de diez (10) días de clases se considerarán como un cambio </w:t>
      </w:r>
      <w:r w:rsidR="00261D5D">
        <w:rPr>
          <w:rFonts w:ascii="Garamond" w:hAnsi="Garamond"/>
          <w:sz w:val="21"/>
          <w:szCs w:val="21"/>
        </w:rPr>
        <w:t>a</w:t>
      </w:r>
      <w:r w:rsidRPr="00261D5D">
        <w:rPr>
          <w:rFonts w:ascii="Garamond" w:hAnsi="Garamond"/>
          <w:sz w:val="21"/>
          <w:szCs w:val="21"/>
        </w:rPr>
        <w:t xml:space="preserve"> la asignación escolar del estudiante por motivos disciplinarios.  En estos casos, la escuela debe poner en efecto las siguientes protecciones de procedimiento adicionales:</w:t>
      </w:r>
    </w:p>
    <w:p w14:paraId="52FA74B8" w14:textId="77777777" w:rsidR="00962C73" w:rsidRPr="00261D5D" w:rsidRDefault="00962C73" w:rsidP="00261D5D">
      <w:pPr>
        <w:pStyle w:val="NoSpacing"/>
        <w:spacing w:before="80"/>
        <w:rPr>
          <w:rFonts w:ascii="Garamond" w:hAnsi="Garamond"/>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8"/>
      </w:tblGrid>
      <w:tr w:rsidR="00962C73" w:rsidRPr="00EE5CEC" w14:paraId="0AC732C7" w14:textId="77777777" w:rsidTr="008D7DCC">
        <w:trPr>
          <w:trHeight w:val="307"/>
        </w:trPr>
        <w:tc>
          <w:tcPr>
            <w:tcW w:w="10858" w:type="dxa"/>
            <w:shd w:val="clear" w:color="auto" w:fill="C00000"/>
          </w:tcPr>
          <w:p w14:paraId="0ADAE671" w14:textId="29950CE1" w:rsidR="00962C73" w:rsidRPr="008D7DCC" w:rsidRDefault="00EE2BD9" w:rsidP="00962C73">
            <w:pPr>
              <w:pStyle w:val="NoSpacing"/>
              <w:rPr>
                <w:rFonts w:ascii="Georgia" w:hAnsi="Georgia"/>
                <w:b/>
                <w:color w:val="FFFFFF" w:themeColor="background1"/>
                <w:sz w:val="25"/>
                <w:szCs w:val="25"/>
              </w:rPr>
            </w:pPr>
            <w:r w:rsidRPr="008D7DCC">
              <w:rPr>
                <w:rFonts w:ascii="Georgia" w:hAnsi="Georgia"/>
                <w:b/>
                <w:bCs/>
                <w:color w:val="FFFFFF" w:themeColor="background1"/>
                <w:sz w:val="24"/>
                <w:szCs w:val="25"/>
              </w:rPr>
              <w:t>Celebrar una Revisión de la Determinación de Manifestación (o MDR)</w:t>
            </w:r>
          </w:p>
        </w:tc>
      </w:tr>
    </w:tbl>
    <w:p w14:paraId="27418A8A" w14:textId="77777777" w:rsidR="000D2382" w:rsidRPr="00261D5D" w:rsidRDefault="000D2382" w:rsidP="004436E3">
      <w:pPr>
        <w:pStyle w:val="ListParagraph"/>
        <w:spacing w:after="0" w:line="240" w:lineRule="auto"/>
        <w:rPr>
          <w:rFonts w:ascii="Garamond" w:hAnsi="Garamond"/>
          <w:sz w:val="10"/>
          <w:szCs w:val="21"/>
        </w:rPr>
      </w:pPr>
    </w:p>
    <w:p w14:paraId="7DE4CECB" w14:textId="6DEBD382" w:rsidR="007370D7" w:rsidRPr="00261D5D" w:rsidRDefault="009525A9" w:rsidP="00261D5D">
      <w:pPr>
        <w:pStyle w:val="ListParagraph"/>
        <w:numPr>
          <w:ilvl w:val="0"/>
          <w:numId w:val="2"/>
        </w:numPr>
        <w:spacing w:after="80" w:line="240" w:lineRule="auto"/>
        <w:contextualSpacing w:val="0"/>
        <w:rPr>
          <w:rFonts w:ascii="Garamond" w:hAnsi="Garamond"/>
          <w:sz w:val="21"/>
          <w:szCs w:val="21"/>
        </w:rPr>
      </w:pPr>
      <w:r w:rsidRPr="00261D5D">
        <w:rPr>
          <w:rFonts w:ascii="Garamond" w:hAnsi="Garamond"/>
          <w:sz w:val="21"/>
          <w:szCs w:val="21"/>
        </w:rPr>
        <w:t xml:space="preserve">Después de notificar a los padres o tutores del estudiante </w:t>
      </w:r>
      <w:r w:rsidR="00261D5D">
        <w:rPr>
          <w:rFonts w:ascii="Garamond" w:hAnsi="Garamond"/>
          <w:sz w:val="21"/>
          <w:szCs w:val="21"/>
        </w:rPr>
        <w:t>que tiene</w:t>
      </w:r>
      <w:r w:rsidRPr="00261D5D">
        <w:rPr>
          <w:rFonts w:ascii="Garamond" w:hAnsi="Garamond"/>
          <w:sz w:val="21"/>
          <w:szCs w:val="21"/>
        </w:rPr>
        <w:t xml:space="preserve"> una discapacidad del cambio propuesto a la asignación, la escuela también debe proporcionarles una</w:t>
      </w:r>
      <w:r w:rsidR="00261D5D">
        <w:rPr>
          <w:rFonts w:ascii="Garamond" w:hAnsi="Garamond"/>
          <w:sz w:val="21"/>
          <w:szCs w:val="21"/>
        </w:rPr>
        <w:t xml:space="preserve"> copia de un documento llamado “salvaguardas de procedimiento”</w:t>
      </w:r>
      <w:r w:rsidRPr="00261D5D">
        <w:rPr>
          <w:rFonts w:ascii="Garamond" w:hAnsi="Garamond"/>
          <w:sz w:val="21"/>
          <w:szCs w:val="21"/>
        </w:rPr>
        <w:t>.</w:t>
      </w:r>
    </w:p>
    <w:p w14:paraId="0AFD528C" w14:textId="7B527359" w:rsidR="009525A9" w:rsidRPr="00261D5D" w:rsidRDefault="001F2FF5" w:rsidP="00261D5D">
      <w:pPr>
        <w:pStyle w:val="ListParagraph"/>
        <w:numPr>
          <w:ilvl w:val="0"/>
          <w:numId w:val="2"/>
        </w:numPr>
        <w:spacing w:after="80" w:line="240" w:lineRule="auto"/>
        <w:contextualSpacing w:val="0"/>
        <w:rPr>
          <w:rFonts w:ascii="Garamond" w:hAnsi="Garamond"/>
          <w:sz w:val="21"/>
          <w:szCs w:val="21"/>
        </w:rPr>
      </w:pPr>
      <w:r w:rsidRPr="00261D5D">
        <w:rPr>
          <w:rFonts w:ascii="Garamond" w:hAnsi="Garamond"/>
          <w:sz w:val="21"/>
          <w:szCs w:val="21"/>
        </w:rPr>
        <w:t>Además, la escuela debe</w:t>
      </w:r>
      <w:r w:rsidR="00261D5D">
        <w:rPr>
          <w:rFonts w:ascii="Garamond" w:hAnsi="Garamond"/>
          <w:sz w:val="21"/>
          <w:szCs w:val="21"/>
        </w:rPr>
        <w:t>rá</w:t>
      </w:r>
      <w:r w:rsidRPr="00261D5D">
        <w:rPr>
          <w:rFonts w:ascii="Garamond" w:hAnsi="Garamond"/>
          <w:sz w:val="21"/>
          <w:szCs w:val="21"/>
        </w:rPr>
        <w:t xml:space="preserve"> </w:t>
      </w:r>
      <w:r w:rsidR="00261D5D">
        <w:rPr>
          <w:rFonts w:ascii="Garamond" w:hAnsi="Garamond"/>
          <w:sz w:val="21"/>
          <w:szCs w:val="21"/>
        </w:rPr>
        <w:t>organizar</w:t>
      </w:r>
      <w:r w:rsidRPr="00261D5D">
        <w:rPr>
          <w:rFonts w:ascii="Garamond" w:hAnsi="Garamond"/>
          <w:sz w:val="21"/>
          <w:szCs w:val="21"/>
        </w:rPr>
        <w:t xml:space="preserve"> una reunión en un plazo de 10 días lectivos, llamada Revisión de la Determinación de Manifestación (MDR, por sus siglas en inglés).</w:t>
      </w:r>
    </w:p>
    <w:p w14:paraId="5092AA75" w14:textId="1B4DE4D8" w:rsidR="003438B8" w:rsidRPr="00261D5D" w:rsidRDefault="009525A9" w:rsidP="00261D5D">
      <w:pPr>
        <w:pStyle w:val="ListParagraph"/>
        <w:numPr>
          <w:ilvl w:val="0"/>
          <w:numId w:val="2"/>
        </w:numPr>
        <w:spacing w:after="80" w:line="240" w:lineRule="auto"/>
        <w:contextualSpacing w:val="0"/>
        <w:rPr>
          <w:rFonts w:ascii="Garamond" w:hAnsi="Garamond"/>
          <w:b/>
          <w:sz w:val="21"/>
          <w:szCs w:val="21"/>
        </w:rPr>
      </w:pPr>
      <w:r w:rsidRPr="00261D5D">
        <w:rPr>
          <w:rFonts w:ascii="Garamond" w:hAnsi="Garamond"/>
          <w:bCs/>
          <w:sz w:val="21"/>
          <w:szCs w:val="21"/>
        </w:rPr>
        <w:t>En la MDR, los miembros necesarios del Equipo Multidisciplinario de apoyo para el estudiante (es decir, del Progr</w:t>
      </w:r>
      <w:r w:rsidR="00261D5D">
        <w:rPr>
          <w:rFonts w:ascii="Garamond" w:hAnsi="Garamond"/>
          <w:bCs/>
          <w:sz w:val="21"/>
          <w:szCs w:val="21"/>
        </w:rPr>
        <w:t>ama de Educación Individualizada</w:t>
      </w:r>
      <w:r w:rsidRPr="00261D5D">
        <w:rPr>
          <w:rFonts w:ascii="Garamond" w:hAnsi="Garamond"/>
          <w:bCs/>
          <w:sz w:val="21"/>
          <w:szCs w:val="21"/>
        </w:rPr>
        <w:t xml:space="preserve"> [IEP, por sus siglas en inglés] o Equipo 504) deben analizar y determinar si la mala conducta señalada de debió principalmente a la discapacidad del estudiante o no.  </w:t>
      </w:r>
      <w:r w:rsidRPr="00261D5D">
        <w:rPr>
          <w:rFonts w:ascii="Garamond" w:hAnsi="Garamond"/>
          <w:b/>
          <w:bCs/>
          <w:sz w:val="21"/>
          <w:szCs w:val="21"/>
        </w:rPr>
        <w:t xml:space="preserve">Importante: El debate del equipo, </w:t>
      </w:r>
      <w:r w:rsidRPr="00261D5D">
        <w:rPr>
          <w:rFonts w:ascii="Garamond" w:hAnsi="Garamond"/>
          <w:b/>
          <w:bCs/>
          <w:i/>
          <w:iCs/>
          <w:sz w:val="21"/>
          <w:szCs w:val="21"/>
        </w:rPr>
        <w:t xml:space="preserve">si </w:t>
      </w:r>
      <w:r w:rsidRPr="00261D5D">
        <w:rPr>
          <w:rFonts w:ascii="Garamond" w:hAnsi="Garamond"/>
          <w:b/>
          <w:bCs/>
          <w:sz w:val="21"/>
          <w:szCs w:val="21"/>
        </w:rPr>
        <w:t xml:space="preserve">el estudiante </w:t>
      </w:r>
      <w:r w:rsidR="00261D5D">
        <w:rPr>
          <w:rFonts w:ascii="Garamond" w:hAnsi="Garamond"/>
          <w:b/>
          <w:bCs/>
          <w:sz w:val="21"/>
          <w:szCs w:val="21"/>
        </w:rPr>
        <w:t>se comportó como la escuela dice</w:t>
      </w:r>
      <w:r w:rsidRPr="00261D5D">
        <w:rPr>
          <w:rFonts w:ascii="Garamond" w:hAnsi="Garamond"/>
          <w:b/>
          <w:bCs/>
          <w:sz w:val="21"/>
          <w:szCs w:val="21"/>
        </w:rPr>
        <w:t xml:space="preserve"> que lo hizo, gira en torno a la pregunta: ¿fue la conducta en cuestión producto de la discapacidad del estudiante o tuvo una relación directa y substancial con la misma?</w:t>
      </w:r>
    </w:p>
    <w:p w14:paraId="17BBC625" w14:textId="2BA0C942" w:rsidR="00BC437A" w:rsidRPr="00261D5D" w:rsidRDefault="009525A9" w:rsidP="00261D5D">
      <w:pPr>
        <w:pStyle w:val="ListParagraph"/>
        <w:numPr>
          <w:ilvl w:val="0"/>
          <w:numId w:val="2"/>
        </w:numPr>
        <w:spacing w:after="80" w:line="240" w:lineRule="auto"/>
        <w:contextualSpacing w:val="0"/>
        <w:rPr>
          <w:rFonts w:ascii="Garamond" w:hAnsi="Garamond"/>
          <w:sz w:val="21"/>
          <w:szCs w:val="21"/>
        </w:rPr>
      </w:pPr>
      <w:r w:rsidRPr="00261D5D">
        <w:rPr>
          <w:rFonts w:ascii="Garamond" w:hAnsi="Garamond"/>
          <w:sz w:val="21"/>
          <w:szCs w:val="21"/>
        </w:rPr>
        <w:t xml:space="preserve">El Equipo de apoyo para el estudiante también debe determinar durante la MDR si la mala conducta señalada fue resultado directo de la incapacidad de la escuela para proveer los servicios, la instrucción y el apoyo conductual descritos en el IEP del estudiante, el Plan 504 o el Plan de Intervención para el Comportamiento (BIP, por sus siglas en inglés), de </w:t>
      </w:r>
      <w:r w:rsidR="003116DB">
        <w:rPr>
          <w:rFonts w:ascii="Garamond" w:hAnsi="Garamond"/>
          <w:sz w:val="21"/>
          <w:szCs w:val="21"/>
        </w:rPr>
        <w:t>hab</w:t>
      </w:r>
      <w:r w:rsidRPr="00261D5D">
        <w:rPr>
          <w:rFonts w:ascii="Garamond" w:hAnsi="Garamond"/>
          <w:sz w:val="21"/>
          <w:szCs w:val="21"/>
        </w:rPr>
        <w:t>erlos.</w:t>
      </w:r>
    </w:p>
    <w:p w14:paraId="4E923403" w14:textId="7B1B7214" w:rsidR="003438B8" w:rsidRPr="00261D5D" w:rsidRDefault="007926DC" w:rsidP="00261D5D">
      <w:pPr>
        <w:pStyle w:val="ListParagraph"/>
        <w:numPr>
          <w:ilvl w:val="0"/>
          <w:numId w:val="2"/>
        </w:numPr>
        <w:spacing w:after="80" w:line="240" w:lineRule="auto"/>
        <w:contextualSpacing w:val="0"/>
        <w:rPr>
          <w:rFonts w:ascii="Garamond" w:hAnsi="Garamond"/>
          <w:sz w:val="21"/>
          <w:szCs w:val="21"/>
        </w:rPr>
      </w:pPr>
      <w:r w:rsidRPr="00261D5D">
        <w:rPr>
          <w:rFonts w:ascii="Garamond" w:hAnsi="Garamond"/>
          <w:sz w:val="21"/>
          <w:szCs w:val="21"/>
        </w:rPr>
        <w:t xml:space="preserve">Durante la MDR, el equipo </w:t>
      </w:r>
      <w:r w:rsidRPr="00261D5D">
        <w:rPr>
          <w:rFonts w:ascii="Garamond" w:hAnsi="Garamond"/>
          <w:sz w:val="21"/>
          <w:szCs w:val="21"/>
          <w:u w:val="single"/>
        </w:rPr>
        <w:t>tiene que</w:t>
      </w:r>
      <w:r w:rsidR="003116DB">
        <w:rPr>
          <w:rFonts w:ascii="Garamond" w:hAnsi="Garamond"/>
          <w:sz w:val="21"/>
          <w:szCs w:val="21"/>
        </w:rPr>
        <w:t xml:space="preserve"> analizar y tomar en conside</w:t>
      </w:r>
      <w:r w:rsidRPr="00261D5D">
        <w:rPr>
          <w:rFonts w:ascii="Garamond" w:hAnsi="Garamond"/>
          <w:sz w:val="21"/>
          <w:szCs w:val="21"/>
        </w:rPr>
        <w:t xml:space="preserve">ración </w:t>
      </w:r>
      <w:r w:rsidR="003116DB" w:rsidRPr="00261D5D">
        <w:rPr>
          <w:rFonts w:ascii="Garamond" w:hAnsi="Garamond"/>
          <w:sz w:val="21"/>
          <w:szCs w:val="21"/>
        </w:rPr>
        <w:t xml:space="preserve">por lo menos </w:t>
      </w:r>
      <w:r w:rsidRPr="00261D5D">
        <w:rPr>
          <w:rFonts w:ascii="Garamond" w:hAnsi="Garamond"/>
          <w:sz w:val="21"/>
          <w:szCs w:val="21"/>
        </w:rPr>
        <w:t>la evaluación y los resultados del diagnóstico del estudiante, la información proporcionada por los padres y las observaciones del estudiante, así como el contenido de su IEP, su Plan 504 y cualquier BIP.</w:t>
      </w:r>
    </w:p>
    <w:p w14:paraId="2AA54FDA" w14:textId="5263B503" w:rsidR="003438B8" w:rsidRPr="00261D5D" w:rsidRDefault="003438B8" w:rsidP="00261D5D">
      <w:pPr>
        <w:pStyle w:val="ListParagraph"/>
        <w:numPr>
          <w:ilvl w:val="0"/>
          <w:numId w:val="2"/>
        </w:numPr>
        <w:spacing w:after="80" w:line="240" w:lineRule="auto"/>
        <w:contextualSpacing w:val="0"/>
        <w:rPr>
          <w:rFonts w:ascii="Garamond" w:hAnsi="Garamond"/>
          <w:sz w:val="21"/>
          <w:szCs w:val="21"/>
        </w:rPr>
      </w:pPr>
      <w:r w:rsidRPr="00261D5D">
        <w:rPr>
          <w:rFonts w:ascii="Garamond" w:hAnsi="Garamond"/>
          <w:sz w:val="21"/>
          <w:szCs w:val="21"/>
        </w:rPr>
        <w:t>Si se determina que el comportamiento del que se informó es una manifestación (en otras palabras, producto principal) de la discapacidad o discapacidades del estudiante, entonces la escuela debe permitirle regresar a clases, excepto en circunstancias especiales.*</w:t>
      </w:r>
    </w:p>
    <w:p w14:paraId="130AC772" w14:textId="2E2C8356" w:rsidR="000D2382" w:rsidRPr="00810D2F" w:rsidRDefault="003438B8" w:rsidP="00261D5D">
      <w:pPr>
        <w:pStyle w:val="ListParagraph"/>
        <w:numPr>
          <w:ilvl w:val="0"/>
          <w:numId w:val="2"/>
        </w:numPr>
        <w:spacing w:after="80" w:line="240" w:lineRule="auto"/>
        <w:contextualSpacing w:val="0"/>
        <w:rPr>
          <w:rFonts w:ascii="Garamond" w:hAnsi="Garamond"/>
        </w:rPr>
      </w:pPr>
      <w:r w:rsidRPr="00810D2F">
        <w:rPr>
          <w:rFonts w:ascii="Garamond" w:hAnsi="Garamond"/>
          <w:sz w:val="21"/>
          <w:szCs w:val="21"/>
        </w:rPr>
        <w:t xml:space="preserve">Si se determina que el comportamiento es resultado de una incapacidad de la escuela para cumplir con el IEP (o Plan 504) o el BIP del estudiante, entonces ésta debe permitirle regresar a clases, excepto en </w:t>
      </w:r>
      <w:r w:rsidR="003116DB" w:rsidRPr="00810D2F">
        <w:rPr>
          <w:rFonts w:ascii="Garamond" w:hAnsi="Garamond"/>
          <w:sz w:val="21"/>
          <w:szCs w:val="21"/>
        </w:rPr>
        <w:t>circunstancia</w:t>
      </w:r>
      <w:r w:rsidRPr="00810D2F">
        <w:rPr>
          <w:rFonts w:ascii="Garamond" w:hAnsi="Garamond"/>
          <w:sz w:val="21"/>
          <w:szCs w:val="21"/>
        </w:rPr>
        <w:t>s</w:t>
      </w:r>
      <w:r w:rsidR="003116DB" w:rsidRPr="00810D2F">
        <w:rPr>
          <w:rFonts w:ascii="Garamond" w:hAnsi="Garamond"/>
          <w:sz w:val="21"/>
          <w:szCs w:val="21"/>
        </w:rPr>
        <w:t xml:space="preserve"> especiales</w:t>
      </w:r>
      <w:r w:rsidRPr="00810D2F">
        <w:rPr>
          <w:rFonts w:ascii="Garamond" w:hAnsi="Garamond"/>
          <w:sz w:val="21"/>
          <w:szCs w:val="21"/>
        </w:rPr>
        <w:t>.*</w:t>
      </w:r>
      <w:r w:rsidR="007B038B">
        <w:rPr>
          <w:rFonts w:ascii="Garamond" w:hAnsi="Garamond"/>
          <w:sz w:val="21"/>
          <w:szCs w:val="21"/>
        </w:rPr>
        <w:t xml:space="preserve"> </w:t>
      </w:r>
      <w:bookmarkStart w:id="0" w:name="_GoBack"/>
      <w:bookmarkEnd w:id="0"/>
      <w:r w:rsidR="0094241A" w:rsidRPr="00810D2F">
        <w:rPr>
          <w:rFonts w:ascii="Garamond" w:hAnsi="Garamond"/>
          <w:sz w:val="21"/>
          <w:szCs w:val="21"/>
        </w:rPr>
        <w:t xml:space="preserve">Si no se satisface alguna de las dos condiciones anteriores, entonces el equipo debe, ya sea </w:t>
      </w:r>
      <w:r w:rsidR="003116DB" w:rsidRPr="00810D2F">
        <w:rPr>
          <w:rFonts w:ascii="Garamond" w:hAnsi="Garamond"/>
          <w:sz w:val="21"/>
          <w:szCs w:val="21"/>
        </w:rPr>
        <w:t xml:space="preserve">realizar </w:t>
      </w:r>
      <w:r w:rsidR="0094241A" w:rsidRPr="00810D2F">
        <w:rPr>
          <w:rFonts w:ascii="Garamond" w:hAnsi="Garamond"/>
          <w:sz w:val="21"/>
          <w:szCs w:val="21"/>
        </w:rPr>
        <w:t>una Evaluación del Comportamiento Funcional (FBA, por sus siglas en inglés)</w:t>
      </w:r>
      <w:r w:rsidR="003116DB" w:rsidRPr="00810D2F">
        <w:rPr>
          <w:rFonts w:ascii="Garamond" w:hAnsi="Garamond"/>
          <w:sz w:val="21"/>
          <w:szCs w:val="21"/>
        </w:rPr>
        <w:t>,</w:t>
      </w:r>
      <w:r w:rsidR="0094241A" w:rsidRPr="00810D2F">
        <w:rPr>
          <w:rFonts w:ascii="Garamond" w:hAnsi="Garamond"/>
          <w:sz w:val="21"/>
          <w:szCs w:val="21"/>
        </w:rPr>
        <w:t xml:space="preserve"> o poner en efecto un BIP, o si la evaluación o el plan de comportamiento ya se han desarrollado, revisarlos y modificarlos según </w:t>
      </w:r>
      <w:r w:rsidR="0094241A" w:rsidRPr="00810D2F">
        <w:rPr>
          <w:rFonts w:ascii="Garamond" w:hAnsi="Garamond"/>
        </w:rPr>
        <w:t>sea necesario para atender el comportamiento.</w:t>
      </w:r>
    </w:p>
    <w:p w14:paraId="2A995B58" w14:textId="77777777" w:rsidR="003116DB" w:rsidRPr="003116DB" w:rsidRDefault="003116DB" w:rsidP="003116DB">
      <w:pPr>
        <w:spacing w:after="80" w:line="24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A27A12" w:rsidRPr="00EE5CEC" w14:paraId="485D3314" w14:textId="77777777" w:rsidTr="008D7DCC">
        <w:trPr>
          <w:trHeight w:val="313"/>
        </w:trPr>
        <w:tc>
          <w:tcPr>
            <w:tcW w:w="10822" w:type="dxa"/>
            <w:shd w:val="clear" w:color="auto" w:fill="C00000"/>
          </w:tcPr>
          <w:p w14:paraId="697F012E" w14:textId="23DB420E" w:rsidR="00A27A12" w:rsidRPr="008D7DCC" w:rsidRDefault="004436E3" w:rsidP="00261D5D">
            <w:pPr>
              <w:pStyle w:val="NoSpacing"/>
              <w:rPr>
                <w:rFonts w:ascii="Georgia" w:hAnsi="Georgia"/>
                <w:b/>
                <w:color w:val="FFFFFF" w:themeColor="background1"/>
                <w:sz w:val="25"/>
                <w:szCs w:val="25"/>
              </w:rPr>
            </w:pPr>
            <w:r w:rsidRPr="008D7DCC">
              <w:rPr>
                <w:rFonts w:ascii="Georgia" w:hAnsi="Georgia"/>
                <w:b/>
                <w:bCs/>
                <w:color w:val="FFFFFF" w:themeColor="background1"/>
                <w:sz w:val="24"/>
                <w:szCs w:val="25"/>
              </w:rPr>
              <w:lastRenderedPageBreak/>
              <w:t>*Circunstancias especiales</w:t>
            </w:r>
          </w:p>
        </w:tc>
      </w:tr>
    </w:tbl>
    <w:p w14:paraId="1DFE921C" w14:textId="77777777" w:rsidR="000D2382" w:rsidRPr="00261D5D" w:rsidRDefault="000D2382" w:rsidP="000D2382">
      <w:pPr>
        <w:spacing w:after="0" w:line="120" w:lineRule="auto"/>
        <w:rPr>
          <w:rFonts w:ascii="Garamond" w:hAnsi="Garamond"/>
          <w:sz w:val="21"/>
          <w:szCs w:val="21"/>
        </w:rPr>
      </w:pPr>
    </w:p>
    <w:p w14:paraId="1D4DB4E0" w14:textId="4ED8B24F" w:rsidR="002A2449" w:rsidRPr="00261D5D" w:rsidRDefault="00BC437A" w:rsidP="002A2449">
      <w:pPr>
        <w:spacing w:after="0" w:line="240" w:lineRule="auto"/>
        <w:rPr>
          <w:rFonts w:ascii="Garamond" w:hAnsi="Garamond"/>
          <w:sz w:val="21"/>
          <w:szCs w:val="21"/>
        </w:rPr>
      </w:pPr>
      <w:r w:rsidRPr="00261D5D">
        <w:rPr>
          <w:rFonts w:ascii="Garamond" w:hAnsi="Garamond"/>
          <w:sz w:val="21"/>
          <w:szCs w:val="21"/>
        </w:rPr>
        <w:t>Independientemente del resultado de la MDR, los estudiantes con discapacidades pueden ser suspendidos y asignados a otra opción educativa por hasta 45 días si existe alguna de estas circunstancias especiales:</w:t>
      </w:r>
    </w:p>
    <w:p w14:paraId="7B22F1EE" w14:textId="6A3D5F68" w:rsidR="0058020E" w:rsidRPr="00261D5D" w:rsidRDefault="00BC437A" w:rsidP="00365CCA">
      <w:pPr>
        <w:pStyle w:val="ListParagraph"/>
        <w:numPr>
          <w:ilvl w:val="0"/>
          <w:numId w:val="5"/>
        </w:numPr>
        <w:spacing w:after="0" w:line="240" w:lineRule="auto"/>
        <w:rPr>
          <w:rFonts w:ascii="Garamond" w:hAnsi="Garamond"/>
          <w:sz w:val="21"/>
          <w:szCs w:val="21"/>
        </w:rPr>
      </w:pPr>
      <w:r w:rsidRPr="00261D5D">
        <w:rPr>
          <w:rFonts w:ascii="Garamond" w:hAnsi="Garamond"/>
          <w:sz w:val="21"/>
          <w:szCs w:val="21"/>
        </w:rPr>
        <w:t>el estudiante porta o tiene en su poder un arma en los predios de la escuela;</w:t>
      </w:r>
    </w:p>
    <w:p w14:paraId="06F46023" w14:textId="7910097D" w:rsidR="00BC437A" w:rsidRPr="00261D5D" w:rsidRDefault="00BC437A" w:rsidP="00365CCA">
      <w:pPr>
        <w:pStyle w:val="ListParagraph"/>
        <w:numPr>
          <w:ilvl w:val="0"/>
          <w:numId w:val="5"/>
        </w:numPr>
        <w:spacing w:after="0" w:line="240" w:lineRule="auto"/>
        <w:rPr>
          <w:rFonts w:ascii="Garamond" w:hAnsi="Garamond"/>
          <w:sz w:val="21"/>
          <w:szCs w:val="21"/>
        </w:rPr>
      </w:pPr>
      <w:r w:rsidRPr="00261D5D">
        <w:rPr>
          <w:rFonts w:ascii="Garamond" w:hAnsi="Garamond"/>
          <w:sz w:val="21"/>
          <w:szCs w:val="21"/>
        </w:rPr>
        <w:t xml:space="preserve">el estudiante posee, consume o vende drogas </w:t>
      </w:r>
      <w:r w:rsidR="003116DB">
        <w:rPr>
          <w:rFonts w:ascii="Garamond" w:hAnsi="Garamond"/>
          <w:sz w:val="21"/>
          <w:szCs w:val="21"/>
        </w:rPr>
        <w:t xml:space="preserve">de forma premeditada </w:t>
      </w:r>
      <w:r w:rsidRPr="00261D5D">
        <w:rPr>
          <w:rFonts w:ascii="Garamond" w:hAnsi="Garamond"/>
          <w:sz w:val="21"/>
          <w:szCs w:val="21"/>
        </w:rPr>
        <w:t>en la escuela; o</w:t>
      </w:r>
    </w:p>
    <w:p w14:paraId="1AA37AB8" w14:textId="2D81EBA7" w:rsidR="00BC437A" w:rsidRPr="00261D5D" w:rsidRDefault="00BC437A" w:rsidP="00365CCA">
      <w:pPr>
        <w:pStyle w:val="ListParagraph"/>
        <w:numPr>
          <w:ilvl w:val="0"/>
          <w:numId w:val="5"/>
        </w:numPr>
        <w:spacing w:after="0" w:line="240" w:lineRule="auto"/>
        <w:rPr>
          <w:rFonts w:ascii="Garamond" w:hAnsi="Garamond"/>
          <w:sz w:val="21"/>
          <w:szCs w:val="21"/>
        </w:rPr>
      </w:pPr>
      <w:r w:rsidRPr="00261D5D">
        <w:rPr>
          <w:rFonts w:ascii="Garamond" w:hAnsi="Garamond"/>
          <w:sz w:val="21"/>
          <w:szCs w:val="21"/>
        </w:rPr>
        <w:t>el estudiante ha infligido daños corporales graves a alguien estando en la escuela.</w:t>
      </w:r>
    </w:p>
    <w:p w14:paraId="565DFC7F" w14:textId="73DD59A8" w:rsidR="000D2382" w:rsidRPr="00261D5D" w:rsidRDefault="002A2449" w:rsidP="00B42913">
      <w:pPr>
        <w:spacing w:after="0" w:line="240" w:lineRule="auto"/>
        <w:rPr>
          <w:rFonts w:ascii="Garamond" w:hAnsi="Garamond"/>
          <w:b/>
          <w:sz w:val="21"/>
          <w:szCs w:val="21"/>
        </w:rPr>
      </w:pPr>
      <w:r w:rsidRPr="00261D5D">
        <w:rPr>
          <w:rFonts w:ascii="Garamond" w:hAnsi="Garamond"/>
          <w:b/>
          <w:bCs/>
          <w:sz w:val="21"/>
          <w:szCs w:val="21"/>
        </w:rPr>
        <w:t xml:space="preserve">Por favor llame a Advocates for Justice and Education (Activistas por la Justicia y la Educación o AJE) o consulte con un abogado especializado en educación si su problema disciplinario involucra cualquiera de estas circunstancias especiales.  </w:t>
      </w:r>
      <w:r w:rsidR="003116DB">
        <w:rPr>
          <w:rFonts w:ascii="Garamond" w:hAnsi="Garamond"/>
          <w:b/>
          <w:bCs/>
          <w:sz w:val="21"/>
          <w:szCs w:val="21"/>
        </w:rPr>
        <w:t>C</w:t>
      </w:r>
      <w:r w:rsidR="003116DB" w:rsidRPr="00261D5D">
        <w:rPr>
          <w:rFonts w:ascii="Garamond" w:hAnsi="Garamond"/>
          <w:b/>
          <w:bCs/>
          <w:sz w:val="21"/>
          <w:szCs w:val="21"/>
        </w:rPr>
        <w:t xml:space="preserve">ada una de </w:t>
      </w:r>
      <w:r w:rsidR="003116DB">
        <w:rPr>
          <w:rFonts w:ascii="Garamond" w:hAnsi="Garamond"/>
          <w:b/>
          <w:bCs/>
          <w:sz w:val="21"/>
          <w:szCs w:val="21"/>
        </w:rPr>
        <w:t>ellas</w:t>
      </w:r>
      <w:r w:rsidR="003116DB" w:rsidRPr="00261D5D">
        <w:rPr>
          <w:rFonts w:ascii="Garamond" w:hAnsi="Garamond"/>
          <w:b/>
          <w:bCs/>
          <w:sz w:val="21"/>
          <w:szCs w:val="21"/>
        </w:rPr>
        <w:t xml:space="preserve"> </w:t>
      </w:r>
      <w:r w:rsidR="003116DB">
        <w:rPr>
          <w:rFonts w:ascii="Garamond" w:hAnsi="Garamond"/>
          <w:b/>
          <w:bCs/>
          <w:sz w:val="21"/>
          <w:szCs w:val="21"/>
        </w:rPr>
        <w:t>tiene</w:t>
      </w:r>
      <w:r w:rsidRPr="00261D5D">
        <w:rPr>
          <w:rFonts w:ascii="Garamond" w:hAnsi="Garamond"/>
          <w:b/>
          <w:bCs/>
          <w:sz w:val="21"/>
          <w:szCs w:val="21"/>
        </w:rPr>
        <w:t xml:space="preserve"> definiciones legales</w:t>
      </w:r>
      <w:r w:rsidR="003116DB">
        <w:rPr>
          <w:rFonts w:ascii="Garamond" w:hAnsi="Garamond"/>
          <w:b/>
          <w:bCs/>
          <w:sz w:val="21"/>
          <w:szCs w:val="21"/>
        </w:rPr>
        <w:t xml:space="preserve"> específicas</w:t>
      </w:r>
      <w:r w:rsidRPr="00261D5D">
        <w:rPr>
          <w:rFonts w:ascii="Garamond" w:hAnsi="Garamond"/>
          <w:b/>
          <w:bCs/>
          <w:sz w:val="21"/>
          <w:szCs w:val="21"/>
        </w:rPr>
        <w:t>.</w:t>
      </w:r>
    </w:p>
    <w:p w14:paraId="3B4A8559" w14:textId="6EAC8414" w:rsidR="002A2449" w:rsidRPr="00261D5D" w:rsidRDefault="002A2449" w:rsidP="000D2382">
      <w:pPr>
        <w:spacing w:after="0" w:line="120" w:lineRule="auto"/>
        <w:ind w:left="1498"/>
        <w:rPr>
          <w:rFonts w:ascii="Garamond" w:hAnsi="Garamond"/>
          <w:b/>
          <w:sz w:val="21"/>
          <w:szCs w:val="21"/>
        </w:rPr>
      </w:pPr>
      <w:r w:rsidRPr="00261D5D">
        <w:rPr>
          <w:rFonts w:ascii="Garamond" w:hAnsi="Garamond"/>
          <w:b/>
          <w:sz w:val="21"/>
          <w:szCs w:val="21"/>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1F2FF5" w:rsidRPr="003F101B" w14:paraId="4023C7D2" w14:textId="77777777" w:rsidTr="008D7DCC">
        <w:trPr>
          <w:trHeight w:val="287"/>
        </w:trPr>
        <w:tc>
          <w:tcPr>
            <w:tcW w:w="10998" w:type="dxa"/>
            <w:shd w:val="clear" w:color="auto" w:fill="C00000"/>
          </w:tcPr>
          <w:p w14:paraId="3CDB3241" w14:textId="3C05C456" w:rsidR="001F2FF5" w:rsidRPr="008D7DCC" w:rsidRDefault="001F2FF5" w:rsidP="001F2FF5">
            <w:pPr>
              <w:spacing w:after="0"/>
              <w:rPr>
                <w:rFonts w:ascii="Georgia" w:hAnsi="Georgia"/>
                <w:color w:val="FFFFFF" w:themeColor="background1"/>
                <w:sz w:val="26"/>
                <w:szCs w:val="26"/>
              </w:rPr>
            </w:pPr>
            <w:r w:rsidRPr="008D7DCC">
              <w:rPr>
                <w:rFonts w:ascii="Georgia" w:hAnsi="Georgia"/>
                <w:b/>
                <w:bCs/>
                <w:color w:val="FFFFFF" w:themeColor="background1"/>
                <w:sz w:val="24"/>
                <w:szCs w:val="26"/>
              </w:rPr>
              <w:t>Protecciones para los estudiantes con discapacidades que asisten a escuelas de DCPS</w:t>
            </w:r>
          </w:p>
        </w:tc>
      </w:tr>
    </w:tbl>
    <w:p w14:paraId="65C17A31" w14:textId="77777777" w:rsidR="0042126F" w:rsidRPr="00261D5D" w:rsidRDefault="0042126F" w:rsidP="0042126F">
      <w:pPr>
        <w:spacing w:after="0" w:line="120" w:lineRule="auto"/>
        <w:rPr>
          <w:rFonts w:ascii="Garamond" w:hAnsi="Garamond"/>
          <w:sz w:val="21"/>
          <w:szCs w:val="21"/>
        </w:rPr>
      </w:pPr>
    </w:p>
    <w:p w14:paraId="37B5A5D2" w14:textId="2E2F95C4" w:rsidR="001F2FF5" w:rsidRPr="00261D5D" w:rsidRDefault="001F2FF5" w:rsidP="000D2382">
      <w:pPr>
        <w:spacing w:after="0" w:line="240" w:lineRule="auto"/>
        <w:rPr>
          <w:rFonts w:ascii="Garamond" w:hAnsi="Garamond"/>
          <w:sz w:val="21"/>
          <w:szCs w:val="21"/>
        </w:rPr>
      </w:pPr>
      <w:r w:rsidRPr="00261D5D">
        <w:rPr>
          <w:rFonts w:ascii="Garamond" w:hAnsi="Garamond"/>
          <w:sz w:val="21"/>
          <w:szCs w:val="21"/>
        </w:rPr>
        <w:t xml:space="preserve">Los estudiantes con discapacidades (ya sean presuntas o confirmadas) que asisten a escuelas </w:t>
      </w:r>
      <w:r w:rsidR="003116DB">
        <w:rPr>
          <w:rFonts w:ascii="Garamond" w:hAnsi="Garamond"/>
          <w:sz w:val="21"/>
          <w:szCs w:val="21"/>
        </w:rPr>
        <w:t xml:space="preserve">de </w:t>
      </w:r>
      <w:r w:rsidRPr="00261D5D">
        <w:rPr>
          <w:rFonts w:ascii="Garamond" w:hAnsi="Garamond"/>
          <w:sz w:val="21"/>
          <w:szCs w:val="21"/>
        </w:rPr>
        <w:t>DCPS cuentan con protecciones adicionales.  El Equipo de apoyo para el estudiante no puede permitir que la suspensión prospere, a menos que todas las afirmaciones siguientes sean verdaderas:</w:t>
      </w:r>
    </w:p>
    <w:p w14:paraId="0CF16356" w14:textId="77777777" w:rsidR="000D2382" w:rsidRPr="00261D5D" w:rsidRDefault="000D2382" w:rsidP="000D2382">
      <w:pPr>
        <w:spacing w:after="0" w:line="120" w:lineRule="auto"/>
        <w:rPr>
          <w:rFonts w:ascii="Garamond" w:hAnsi="Garamond"/>
          <w:sz w:val="12"/>
          <w:szCs w:val="21"/>
        </w:rPr>
      </w:pPr>
    </w:p>
    <w:p w14:paraId="4EA73DA8" w14:textId="0E2D068D" w:rsidR="001F2FF5" w:rsidRPr="00261D5D" w:rsidRDefault="001F2FF5" w:rsidP="00261D5D">
      <w:pPr>
        <w:pStyle w:val="ListParagraph"/>
        <w:numPr>
          <w:ilvl w:val="0"/>
          <w:numId w:val="8"/>
        </w:numPr>
        <w:spacing w:after="80" w:line="240" w:lineRule="auto"/>
        <w:contextualSpacing w:val="0"/>
        <w:rPr>
          <w:rFonts w:ascii="Garamond" w:hAnsi="Garamond"/>
          <w:sz w:val="21"/>
          <w:szCs w:val="21"/>
        </w:rPr>
      </w:pPr>
      <w:r w:rsidRPr="00261D5D">
        <w:rPr>
          <w:rFonts w:ascii="Garamond" w:hAnsi="Garamond"/>
          <w:sz w:val="21"/>
          <w:szCs w:val="21"/>
        </w:rPr>
        <w:t xml:space="preserve">El IEP y la asignación </w:t>
      </w:r>
      <w:r w:rsidR="003116DB">
        <w:rPr>
          <w:rFonts w:ascii="Garamond" w:hAnsi="Garamond"/>
          <w:sz w:val="21"/>
          <w:szCs w:val="21"/>
        </w:rPr>
        <w:t>educativa</w:t>
      </w:r>
      <w:r w:rsidRPr="00261D5D">
        <w:rPr>
          <w:rFonts w:ascii="Garamond" w:hAnsi="Garamond"/>
          <w:sz w:val="21"/>
          <w:szCs w:val="21"/>
        </w:rPr>
        <w:t xml:space="preserve"> fueron apropiados.</w:t>
      </w:r>
    </w:p>
    <w:p w14:paraId="00F5441B" w14:textId="1A2FCE5C" w:rsidR="001F2FF5" w:rsidRPr="00261D5D" w:rsidRDefault="001F2FF5" w:rsidP="003116DB">
      <w:pPr>
        <w:pStyle w:val="ListParagraph"/>
        <w:numPr>
          <w:ilvl w:val="0"/>
          <w:numId w:val="8"/>
        </w:numPr>
        <w:spacing w:after="80" w:line="240" w:lineRule="auto"/>
        <w:ind w:right="90"/>
        <w:contextualSpacing w:val="0"/>
        <w:rPr>
          <w:rFonts w:ascii="Garamond" w:hAnsi="Garamond"/>
          <w:sz w:val="21"/>
          <w:szCs w:val="21"/>
        </w:rPr>
      </w:pPr>
      <w:r w:rsidRPr="00261D5D">
        <w:rPr>
          <w:rFonts w:ascii="Garamond" w:hAnsi="Garamond"/>
          <w:sz w:val="21"/>
          <w:szCs w:val="21"/>
        </w:rPr>
        <w:t xml:space="preserve">Los servicios de educación especial, los recursos de ayuda y los servicios complementarios, así como las estrategias de intervención para atender el comportamiento, se proporcionaron de conformidad con el IEP y la asignación </w:t>
      </w:r>
      <w:r w:rsidR="003116DB">
        <w:rPr>
          <w:rFonts w:ascii="Garamond" w:hAnsi="Garamond"/>
          <w:sz w:val="21"/>
          <w:szCs w:val="21"/>
        </w:rPr>
        <w:t>educativa</w:t>
      </w:r>
      <w:r w:rsidRPr="00261D5D">
        <w:rPr>
          <w:rFonts w:ascii="Garamond" w:hAnsi="Garamond"/>
          <w:sz w:val="21"/>
          <w:szCs w:val="21"/>
        </w:rPr>
        <w:t xml:space="preserve"> para el estudiante.</w:t>
      </w:r>
    </w:p>
    <w:p w14:paraId="5C426CC4" w14:textId="77777777" w:rsidR="001F2FF5" w:rsidRPr="00261D5D" w:rsidRDefault="001F2FF5" w:rsidP="00261D5D">
      <w:pPr>
        <w:pStyle w:val="ListParagraph"/>
        <w:numPr>
          <w:ilvl w:val="0"/>
          <w:numId w:val="8"/>
        </w:numPr>
        <w:spacing w:after="80" w:line="240" w:lineRule="auto"/>
        <w:contextualSpacing w:val="0"/>
        <w:rPr>
          <w:rFonts w:ascii="Garamond" w:hAnsi="Garamond"/>
          <w:sz w:val="21"/>
          <w:szCs w:val="21"/>
        </w:rPr>
      </w:pPr>
      <w:r w:rsidRPr="00261D5D">
        <w:rPr>
          <w:rFonts w:ascii="Garamond" w:hAnsi="Garamond"/>
          <w:sz w:val="21"/>
          <w:szCs w:val="21"/>
        </w:rPr>
        <w:t xml:space="preserve">La discapacidad del estudiante </w:t>
      </w:r>
      <w:r w:rsidRPr="00261D5D">
        <w:rPr>
          <w:rFonts w:ascii="Garamond" w:hAnsi="Garamond"/>
          <w:b/>
          <w:bCs/>
          <w:sz w:val="21"/>
          <w:szCs w:val="21"/>
          <w:u w:val="single"/>
        </w:rPr>
        <w:t>no menguó</w:t>
      </w:r>
      <w:r w:rsidRPr="00261D5D">
        <w:rPr>
          <w:rFonts w:ascii="Garamond" w:hAnsi="Garamond"/>
          <w:sz w:val="21"/>
          <w:szCs w:val="21"/>
        </w:rPr>
        <w:t xml:space="preserve"> su capacidad para entender el efecto y las consecuencias del comportamiento que dio pie a la suspensión.</w:t>
      </w:r>
    </w:p>
    <w:p w14:paraId="4D8C80DB" w14:textId="2FC881F5" w:rsidR="000D2382" w:rsidRPr="00261D5D" w:rsidRDefault="001F2FF5" w:rsidP="000D2382">
      <w:pPr>
        <w:pStyle w:val="ListParagraph"/>
        <w:numPr>
          <w:ilvl w:val="0"/>
          <w:numId w:val="7"/>
        </w:numPr>
        <w:spacing w:after="0" w:line="240" w:lineRule="auto"/>
        <w:rPr>
          <w:rFonts w:ascii="Garamond" w:hAnsi="Garamond"/>
          <w:sz w:val="21"/>
          <w:szCs w:val="21"/>
        </w:rPr>
      </w:pPr>
      <w:r w:rsidRPr="00261D5D">
        <w:rPr>
          <w:rFonts w:ascii="Garamond" w:hAnsi="Garamond"/>
          <w:bCs/>
          <w:sz w:val="21"/>
          <w:szCs w:val="21"/>
        </w:rPr>
        <w:t>La discapacidad del estudiante</w:t>
      </w:r>
      <w:r w:rsidRPr="00261D5D">
        <w:rPr>
          <w:rFonts w:ascii="Garamond" w:hAnsi="Garamond"/>
          <w:b/>
          <w:bCs/>
          <w:sz w:val="21"/>
          <w:szCs w:val="21"/>
        </w:rPr>
        <w:t xml:space="preserve"> </w:t>
      </w:r>
      <w:r w:rsidRPr="00261D5D">
        <w:rPr>
          <w:rFonts w:ascii="Garamond" w:hAnsi="Garamond"/>
          <w:b/>
          <w:bCs/>
          <w:sz w:val="21"/>
          <w:szCs w:val="21"/>
          <w:u w:val="single"/>
        </w:rPr>
        <w:t>no menguó</w:t>
      </w:r>
      <w:r w:rsidRPr="00261D5D">
        <w:rPr>
          <w:rFonts w:ascii="Garamond" w:hAnsi="Garamond"/>
          <w:b/>
          <w:bCs/>
          <w:sz w:val="21"/>
          <w:szCs w:val="21"/>
        </w:rPr>
        <w:t xml:space="preserve"> </w:t>
      </w:r>
      <w:r w:rsidRPr="00261D5D">
        <w:rPr>
          <w:rFonts w:ascii="Garamond" w:hAnsi="Garamond"/>
          <w:bCs/>
          <w:sz w:val="21"/>
          <w:szCs w:val="21"/>
        </w:rPr>
        <w:t>su capacidad para controlar el comportamiento sujeto a la medida disciplinaria.</w:t>
      </w:r>
    </w:p>
    <w:p w14:paraId="73C3EC89" w14:textId="77777777" w:rsidR="000D2382" w:rsidRPr="00261D5D" w:rsidRDefault="000D2382" w:rsidP="000D2382">
      <w:pPr>
        <w:pStyle w:val="ListParagraph"/>
        <w:spacing w:after="0" w:line="120" w:lineRule="auto"/>
        <w:rPr>
          <w:rFonts w:ascii="Garamond" w:hAnsi="Garamond"/>
          <w:b/>
          <w:sz w:val="21"/>
          <w:szCs w:val="21"/>
        </w:rPr>
      </w:pPr>
    </w:p>
    <w:p w14:paraId="35C0B48C" w14:textId="02266617" w:rsidR="001F2FF5" w:rsidRPr="00261D5D" w:rsidRDefault="001F2FF5" w:rsidP="0042126F">
      <w:pPr>
        <w:spacing w:after="0" w:line="240" w:lineRule="auto"/>
        <w:rPr>
          <w:rFonts w:ascii="Garamond" w:hAnsi="Garamond"/>
          <w:sz w:val="21"/>
          <w:szCs w:val="21"/>
        </w:rPr>
      </w:pPr>
      <w:r w:rsidRPr="00261D5D">
        <w:rPr>
          <w:rFonts w:ascii="Garamond" w:hAnsi="Garamond"/>
          <w:sz w:val="21"/>
          <w:szCs w:val="21"/>
        </w:rPr>
        <w:t xml:space="preserve">Es posible que las escuelas de DCPS puedan sacar a los estudiantes con discapacidades, sin importar cuál sea </w:t>
      </w:r>
      <w:r w:rsidR="003116DB">
        <w:rPr>
          <w:rFonts w:ascii="Garamond" w:hAnsi="Garamond"/>
          <w:sz w:val="21"/>
          <w:szCs w:val="21"/>
        </w:rPr>
        <w:t>el resultado de la MDR, en las “circunstancias especiales”</w:t>
      </w:r>
      <w:r w:rsidRPr="00261D5D">
        <w:rPr>
          <w:rFonts w:ascii="Garamond" w:hAnsi="Garamond"/>
          <w:sz w:val="21"/>
          <w:szCs w:val="21"/>
        </w:rPr>
        <w:t xml:space="preserve"> que se describen en este recurso.</w:t>
      </w:r>
    </w:p>
    <w:p w14:paraId="7B3B1DFD" w14:textId="77777777" w:rsidR="0042126F" w:rsidRPr="008A2276" w:rsidRDefault="0042126F" w:rsidP="0042126F">
      <w:pPr>
        <w:spacing w:after="0" w:line="12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8"/>
      </w:tblGrid>
      <w:tr w:rsidR="00D22C53" w:rsidRPr="00EE5CEC" w14:paraId="16D3FE3C" w14:textId="77777777" w:rsidTr="008D7DCC">
        <w:trPr>
          <w:trHeight w:val="408"/>
        </w:trPr>
        <w:tc>
          <w:tcPr>
            <w:tcW w:w="10778" w:type="dxa"/>
            <w:shd w:val="clear" w:color="auto" w:fill="C00000"/>
          </w:tcPr>
          <w:p w14:paraId="33D1E892" w14:textId="3F9BFDED" w:rsidR="00D22C53" w:rsidRPr="008D7DCC" w:rsidRDefault="002A2449" w:rsidP="00D22C53">
            <w:pPr>
              <w:pStyle w:val="NoSpacing"/>
              <w:rPr>
                <w:rFonts w:ascii="Georgia" w:hAnsi="Georgia"/>
                <w:b/>
                <w:color w:val="FFFFFF" w:themeColor="background1"/>
                <w:sz w:val="25"/>
                <w:szCs w:val="25"/>
              </w:rPr>
            </w:pPr>
            <w:r w:rsidRPr="008D7DCC">
              <w:rPr>
                <w:rFonts w:ascii="Georgia" w:hAnsi="Georgia"/>
                <w:b/>
                <w:bCs/>
                <w:color w:val="FFFFFF" w:themeColor="background1"/>
                <w:sz w:val="24"/>
                <w:szCs w:val="25"/>
              </w:rPr>
              <w:t>Derechos adicionales de los estudiantes con discapacidades suspendidos</w:t>
            </w:r>
          </w:p>
        </w:tc>
      </w:tr>
    </w:tbl>
    <w:p w14:paraId="3F1376F8" w14:textId="77777777" w:rsidR="0084789A" w:rsidRPr="0030002C" w:rsidRDefault="0084789A" w:rsidP="001C33AC">
      <w:pPr>
        <w:spacing w:after="0" w:line="360" w:lineRule="auto"/>
        <w:jc w:val="both"/>
        <w:rPr>
          <w:rFonts w:ascii="Garamond" w:hAnsi="Garamond"/>
        </w:rPr>
        <w:sectPr w:rsidR="0084789A" w:rsidRPr="0030002C" w:rsidSect="00F46E40">
          <w:headerReference w:type="first" r:id="rId9"/>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titlePg/>
          <w:docGrid w:linePitch="360"/>
        </w:sectPr>
      </w:pPr>
    </w:p>
    <w:p w14:paraId="304896DA" w14:textId="77777777" w:rsidR="0042126F" w:rsidRPr="00261D5D" w:rsidRDefault="0042126F" w:rsidP="0042126F">
      <w:pPr>
        <w:pStyle w:val="ListParagraph"/>
        <w:spacing w:after="0" w:line="120" w:lineRule="auto"/>
        <w:jc w:val="both"/>
        <w:rPr>
          <w:rFonts w:ascii="Garamond" w:hAnsi="Garamond"/>
          <w:sz w:val="21"/>
          <w:szCs w:val="21"/>
        </w:rPr>
      </w:pPr>
    </w:p>
    <w:p w14:paraId="75BFE94E" w14:textId="0073DC0F" w:rsidR="00C44ECC" w:rsidRPr="00261D5D" w:rsidRDefault="002A2449" w:rsidP="003116DB">
      <w:pPr>
        <w:pStyle w:val="ListParagraph"/>
        <w:numPr>
          <w:ilvl w:val="0"/>
          <w:numId w:val="3"/>
        </w:numPr>
        <w:spacing w:after="80" w:line="240" w:lineRule="auto"/>
        <w:contextualSpacing w:val="0"/>
        <w:rPr>
          <w:rFonts w:ascii="Garamond" w:hAnsi="Garamond"/>
          <w:sz w:val="21"/>
          <w:szCs w:val="21"/>
        </w:rPr>
      </w:pPr>
      <w:r w:rsidRPr="00261D5D">
        <w:rPr>
          <w:rFonts w:ascii="Garamond" w:hAnsi="Garamond"/>
          <w:sz w:val="21"/>
          <w:szCs w:val="21"/>
        </w:rPr>
        <w:t>Si el equipo realiza una MDR como es debido y decide que la suspensión es apropiada, entonces el estudiante puede ser suspendido de manera similar a los que no tienen discapacidades.  Sin embargo, los estudiantes con discapacidades tienen derechos adicionales.</w:t>
      </w:r>
    </w:p>
    <w:p w14:paraId="57DB918E" w14:textId="6A7EAA04" w:rsidR="00677003" w:rsidRPr="00261D5D" w:rsidRDefault="003F1EF0" w:rsidP="003116DB">
      <w:pPr>
        <w:pStyle w:val="ListParagraph"/>
        <w:numPr>
          <w:ilvl w:val="0"/>
          <w:numId w:val="3"/>
        </w:numPr>
        <w:spacing w:after="80" w:line="240" w:lineRule="auto"/>
        <w:contextualSpacing w:val="0"/>
        <w:rPr>
          <w:rFonts w:ascii="Garamond" w:hAnsi="Garamond"/>
          <w:sz w:val="21"/>
          <w:szCs w:val="21"/>
        </w:rPr>
      </w:pPr>
      <w:r w:rsidRPr="00261D5D">
        <w:rPr>
          <w:rFonts w:ascii="Garamond" w:hAnsi="Garamond"/>
          <w:sz w:val="21"/>
          <w:szCs w:val="21"/>
        </w:rPr>
        <w:t>Mientras están suspendidos, los estudiantes con discapacidades tienen derecho a una oportunidad para continuar avanzando hacia la consecución de los objetivos de su IEP, así como a acceder a sus tareas escolares.  Los Equipos del IEP tienen que determinar el marco apropiado para que esto ocurra, y poner los servicios y el marco a su disposición antes de que el estudiante sea suspendido por más de diez (10) días lectivos en un solo año escolar.</w:t>
      </w:r>
    </w:p>
    <w:p w14:paraId="740CCA6D" w14:textId="3595D65A" w:rsidR="009C4233" w:rsidRPr="00261D5D" w:rsidRDefault="003F1EF0" w:rsidP="003116DB">
      <w:pPr>
        <w:pStyle w:val="ListParagraph"/>
        <w:numPr>
          <w:ilvl w:val="0"/>
          <w:numId w:val="3"/>
        </w:numPr>
        <w:spacing w:after="120" w:line="240" w:lineRule="auto"/>
        <w:contextualSpacing w:val="0"/>
        <w:rPr>
          <w:rFonts w:ascii="Garamond" w:hAnsi="Garamond"/>
          <w:sz w:val="21"/>
          <w:szCs w:val="21"/>
        </w:rPr>
      </w:pPr>
      <w:r w:rsidRPr="00261D5D">
        <w:rPr>
          <w:rFonts w:ascii="Garamond" w:hAnsi="Garamond"/>
          <w:sz w:val="21"/>
          <w:szCs w:val="21"/>
        </w:rPr>
        <w:t>El padre o tutor del estudiante puede presentar una queja administrativa, llamada Reclamación de Debido Proceso, para solicitar que al estudiante se le permita regresar a la escuela.  La audiencia para atender esta queja será agilizada.  Mientras la demanda esté pendiente, al estudiante deberán prestársele servicios educativos dentro del marco determinado por el Equipo del IEP.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0172BF" w:rsidRPr="003F101B" w14:paraId="1747F32A" w14:textId="77777777" w:rsidTr="008D7DCC">
        <w:trPr>
          <w:trHeight w:val="287"/>
        </w:trPr>
        <w:tc>
          <w:tcPr>
            <w:tcW w:w="10998" w:type="dxa"/>
            <w:shd w:val="clear" w:color="auto" w:fill="C00000"/>
          </w:tcPr>
          <w:p w14:paraId="1BC95ED6" w14:textId="6B2B413E" w:rsidR="000172BF" w:rsidRPr="008D7DCC" w:rsidRDefault="00C454E8" w:rsidP="001D6D7B">
            <w:pPr>
              <w:spacing w:after="0"/>
              <w:rPr>
                <w:rFonts w:ascii="Georgia" w:hAnsi="Georgia"/>
                <w:color w:val="FFFFFF" w:themeColor="background1"/>
                <w:sz w:val="25"/>
                <w:szCs w:val="25"/>
              </w:rPr>
            </w:pPr>
            <w:r w:rsidRPr="008D7DCC">
              <w:rPr>
                <w:rFonts w:ascii="Georgia" w:hAnsi="Georgia"/>
                <w:b/>
                <w:bCs/>
                <w:color w:val="FFFFFF" w:themeColor="background1"/>
                <w:sz w:val="24"/>
                <w:szCs w:val="25"/>
              </w:rPr>
              <w:t>Derechos de los estudiantes que se sospecha que tienen una discapacidad/Sección 504</w:t>
            </w:r>
          </w:p>
        </w:tc>
      </w:tr>
    </w:tbl>
    <w:p w14:paraId="3E5326A6" w14:textId="77777777" w:rsidR="0042126F" w:rsidRPr="008A2276" w:rsidRDefault="0042126F" w:rsidP="0042126F">
      <w:pPr>
        <w:pStyle w:val="ListParagraph"/>
        <w:spacing w:line="120" w:lineRule="auto"/>
        <w:rPr>
          <w:rFonts w:ascii="Garamond" w:hAnsi="Garamond"/>
        </w:rPr>
      </w:pPr>
    </w:p>
    <w:p w14:paraId="054B62AB" w14:textId="1DC4C197" w:rsidR="00C454E8" w:rsidRPr="00261D5D" w:rsidRDefault="00C454E8" w:rsidP="00261D5D">
      <w:pPr>
        <w:pStyle w:val="ListParagraph"/>
        <w:numPr>
          <w:ilvl w:val="0"/>
          <w:numId w:val="6"/>
        </w:numPr>
        <w:spacing w:after="80" w:line="240" w:lineRule="auto"/>
        <w:contextualSpacing w:val="0"/>
        <w:rPr>
          <w:rFonts w:ascii="Garamond" w:hAnsi="Garamond"/>
          <w:sz w:val="21"/>
          <w:szCs w:val="21"/>
        </w:rPr>
      </w:pPr>
      <w:r w:rsidRPr="00261D5D">
        <w:rPr>
          <w:rFonts w:ascii="Garamond" w:hAnsi="Garamond"/>
          <w:sz w:val="21"/>
          <w:szCs w:val="21"/>
        </w:rPr>
        <w:t xml:space="preserve">Una vez que uno de los padres o tutores ha solicitado una evaluación para recibir servicios de educación especial, o que una escuela está en otro sentido al tanto de que puede tener una discapacidad, al estudiante se le conceden todas las protecciones ofrecidas a los estudiantes con discapacidades al amparo de la IDEIA.  </w:t>
      </w:r>
      <w:r w:rsidR="003116DB">
        <w:rPr>
          <w:rFonts w:ascii="Garamond" w:hAnsi="Garamond"/>
          <w:sz w:val="21"/>
          <w:szCs w:val="21"/>
        </w:rPr>
        <w:t>P</w:t>
      </w:r>
      <w:r w:rsidR="003116DB" w:rsidRPr="00261D5D">
        <w:rPr>
          <w:rFonts w:ascii="Garamond" w:hAnsi="Garamond"/>
          <w:sz w:val="21"/>
          <w:szCs w:val="21"/>
        </w:rPr>
        <w:t>ara que esta regla corresponda</w:t>
      </w:r>
      <w:r w:rsidR="003116DB">
        <w:rPr>
          <w:rFonts w:ascii="Garamond" w:hAnsi="Garamond"/>
          <w:sz w:val="21"/>
          <w:szCs w:val="21"/>
        </w:rPr>
        <w:t>, l</w:t>
      </w:r>
      <w:r w:rsidRPr="00261D5D">
        <w:rPr>
          <w:rFonts w:ascii="Garamond" w:hAnsi="Garamond"/>
          <w:sz w:val="21"/>
          <w:szCs w:val="21"/>
        </w:rPr>
        <w:t>a escuela debe estar al tanto de la presunta discapacidad del estudiante antes de imponer la disciplina escolar.  Importante: Lo mejor es presentar todas las solicitudes de evaluación por escrito, de modo que la fecha de la solicitud quede documentada.</w:t>
      </w:r>
    </w:p>
    <w:p w14:paraId="153283B7" w14:textId="2C219AD7" w:rsidR="0042126F" w:rsidRPr="00261D5D" w:rsidRDefault="001A0272" w:rsidP="00261D5D">
      <w:pPr>
        <w:pStyle w:val="ListParagraph"/>
        <w:numPr>
          <w:ilvl w:val="0"/>
          <w:numId w:val="6"/>
        </w:numPr>
        <w:spacing w:after="80" w:line="240" w:lineRule="auto"/>
        <w:contextualSpacing w:val="0"/>
        <w:rPr>
          <w:rFonts w:ascii="Garamond" w:hAnsi="Garamond"/>
          <w:sz w:val="21"/>
          <w:szCs w:val="21"/>
        </w:rPr>
      </w:pPr>
      <w:r w:rsidRPr="00261D5D">
        <w:rPr>
          <w:rFonts w:ascii="Garamond" w:hAnsi="Garamond"/>
          <w:sz w:val="21"/>
          <w:szCs w:val="21"/>
        </w:rPr>
        <w:t xml:space="preserve">Si uno de los padres solicita una evaluación para recibir servicios de educación especial </w:t>
      </w:r>
      <w:r w:rsidRPr="00261D5D">
        <w:rPr>
          <w:rFonts w:ascii="Garamond" w:hAnsi="Garamond"/>
          <w:i/>
          <w:iCs/>
          <w:sz w:val="21"/>
          <w:szCs w:val="21"/>
        </w:rPr>
        <w:t xml:space="preserve">después </w:t>
      </w:r>
      <w:r w:rsidRPr="00261D5D">
        <w:rPr>
          <w:rFonts w:ascii="Garamond" w:hAnsi="Garamond"/>
          <w:sz w:val="21"/>
          <w:szCs w:val="21"/>
        </w:rPr>
        <w:t>de que la escuela suspenda al estudiante, ésta deberá llevar a cabo una evaluación de manera expedita.  Si se determina que el estudian</w:t>
      </w:r>
      <w:r w:rsidR="00261D5D" w:rsidRPr="00261D5D">
        <w:rPr>
          <w:rFonts w:ascii="Garamond" w:hAnsi="Garamond"/>
          <w:sz w:val="21"/>
          <w:szCs w:val="21"/>
        </w:rPr>
        <w:t xml:space="preserve">te padece una discapacidad, </w:t>
      </w:r>
      <w:r w:rsidRPr="00261D5D">
        <w:rPr>
          <w:rFonts w:ascii="Garamond" w:hAnsi="Garamond"/>
          <w:sz w:val="21"/>
          <w:szCs w:val="21"/>
        </w:rPr>
        <w:t>de conformidad con la IDEIA, entonces él o ella recibe todas las protecciones concedidas a los estudiantes con discapacidades, incluyendo la de una MDR.</w:t>
      </w:r>
    </w:p>
    <w:p w14:paraId="63F1488D" w14:textId="5753F08F" w:rsidR="007A00A6" w:rsidRPr="00261D5D" w:rsidRDefault="00C454E8" w:rsidP="00365CCA">
      <w:pPr>
        <w:pStyle w:val="ListParagraph"/>
        <w:numPr>
          <w:ilvl w:val="0"/>
          <w:numId w:val="6"/>
        </w:numPr>
        <w:spacing w:line="240" w:lineRule="auto"/>
        <w:rPr>
          <w:rFonts w:ascii="Garamond" w:hAnsi="Garamond"/>
          <w:sz w:val="21"/>
          <w:szCs w:val="21"/>
        </w:rPr>
      </w:pPr>
      <w:r w:rsidRPr="00261D5D">
        <w:rPr>
          <w:rFonts w:ascii="Garamond" w:hAnsi="Garamond"/>
          <w:sz w:val="21"/>
          <w:szCs w:val="21"/>
        </w:rPr>
        <w:t xml:space="preserve"> Los estudiantes con un Plan 504 tienen por lo menos las mismas protecciones que los que cu</w:t>
      </w:r>
      <w:r w:rsidR="003116DB">
        <w:rPr>
          <w:rFonts w:ascii="Garamond" w:hAnsi="Garamond"/>
          <w:sz w:val="21"/>
          <w:szCs w:val="21"/>
        </w:rPr>
        <w:t>entan con un IEP, incluyendo la</w:t>
      </w:r>
      <w:r w:rsidRPr="00261D5D">
        <w:rPr>
          <w:rFonts w:ascii="Garamond" w:hAnsi="Garamond"/>
          <w:sz w:val="21"/>
          <w:szCs w:val="21"/>
        </w:rPr>
        <w:t xml:space="preserve"> de las MDR.</w:t>
      </w:r>
    </w:p>
    <w:p w14:paraId="419ABA9D" w14:textId="6C3AA148" w:rsidR="00D45B8C" w:rsidRPr="00261D5D" w:rsidRDefault="00947D78" w:rsidP="00D9284F">
      <w:pPr>
        <w:spacing w:after="0" w:line="240" w:lineRule="auto"/>
        <w:rPr>
          <w:rFonts w:ascii="Garamond" w:hAnsi="Garamond"/>
          <w:sz w:val="21"/>
          <w:szCs w:val="21"/>
        </w:rPr>
      </w:pPr>
      <w:r w:rsidRPr="00261D5D">
        <w:rPr>
          <w:rFonts w:ascii="Garamond" w:hAnsi="Garamond"/>
          <w:b/>
          <w:bCs/>
          <w:sz w:val="21"/>
          <w:szCs w:val="21"/>
        </w:rPr>
        <w:t xml:space="preserve">¿Necesita más ayuda?  </w:t>
      </w:r>
      <w:r w:rsidRPr="00261D5D">
        <w:rPr>
          <w:rFonts w:ascii="Garamond" w:hAnsi="Garamond"/>
          <w:sz w:val="21"/>
          <w:szCs w:val="21"/>
        </w:rPr>
        <w:t xml:space="preserve">Llame o visite a </w:t>
      </w:r>
      <w:proofErr w:type="spellStart"/>
      <w:r w:rsidR="008D7DCC">
        <w:rPr>
          <w:rFonts w:ascii="Garamond" w:hAnsi="Garamond"/>
          <w:sz w:val="21"/>
          <w:szCs w:val="21"/>
        </w:rPr>
        <w:t>Advocates</w:t>
      </w:r>
      <w:proofErr w:type="spellEnd"/>
      <w:r w:rsidR="008D7DCC">
        <w:rPr>
          <w:rFonts w:ascii="Garamond" w:hAnsi="Garamond"/>
          <w:sz w:val="21"/>
          <w:szCs w:val="21"/>
        </w:rPr>
        <w:t xml:space="preserve"> </w:t>
      </w:r>
      <w:proofErr w:type="spellStart"/>
      <w:r w:rsidR="008D7DCC">
        <w:rPr>
          <w:rFonts w:ascii="Garamond" w:hAnsi="Garamond"/>
          <w:sz w:val="21"/>
          <w:szCs w:val="21"/>
        </w:rPr>
        <w:t>for</w:t>
      </w:r>
      <w:proofErr w:type="spellEnd"/>
      <w:r w:rsidR="008D7DCC">
        <w:rPr>
          <w:rFonts w:ascii="Garamond" w:hAnsi="Garamond"/>
          <w:sz w:val="21"/>
          <w:szCs w:val="21"/>
        </w:rPr>
        <w:t xml:space="preserve"> </w:t>
      </w:r>
      <w:proofErr w:type="spellStart"/>
      <w:r w:rsidR="008D7DCC">
        <w:rPr>
          <w:rFonts w:ascii="Garamond" w:hAnsi="Garamond"/>
          <w:sz w:val="21"/>
          <w:szCs w:val="21"/>
        </w:rPr>
        <w:t>Justice</w:t>
      </w:r>
      <w:proofErr w:type="spellEnd"/>
      <w:r w:rsidR="008D7DCC">
        <w:rPr>
          <w:rFonts w:ascii="Garamond" w:hAnsi="Garamond"/>
          <w:sz w:val="21"/>
          <w:szCs w:val="21"/>
        </w:rPr>
        <w:t xml:space="preserve"> and </w:t>
      </w:r>
      <w:proofErr w:type="spellStart"/>
      <w:r w:rsidR="008D7DCC">
        <w:rPr>
          <w:rFonts w:ascii="Garamond" w:hAnsi="Garamond"/>
          <w:sz w:val="21"/>
          <w:szCs w:val="21"/>
        </w:rPr>
        <w:t>Education</w:t>
      </w:r>
      <w:proofErr w:type="spellEnd"/>
      <w:r w:rsidR="008D7DCC">
        <w:rPr>
          <w:rFonts w:ascii="Garamond" w:hAnsi="Garamond"/>
          <w:sz w:val="21"/>
          <w:szCs w:val="21"/>
        </w:rPr>
        <w:t xml:space="preserve"> (</w:t>
      </w:r>
      <w:r w:rsidRPr="00261D5D">
        <w:rPr>
          <w:rFonts w:ascii="Garamond" w:hAnsi="Garamond"/>
          <w:sz w:val="21"/>
          <w:szCs w:val="21"/>
        </w:rPr>
        <w:t>AJE</w:t>
      </w:r>
      <w:r w:rsidR="008D7DCC">
        <w:rPr>
          <w:rFonts w:ascii="Garamond" w:hAnsi="Garamond"/>
          <w:sz w:val="21"/>
          <w:szCs w:val="21"/>
        </w:rPr>
        <w:t>)</w:t>
      </w:r>
      <w:r w:rsidRPr="00261D5D">
        <w:rPr>
          <w:rFonts w:ascii="Garamond" w:hAnsi="Garamond"/>
          <w:sz w:val="21"/>
          <w:szCs w:val="21"/>
        </w:rPr>
        <w:t xml:space="preserve">: (202) 678-8060 • </w:t>
      </w:r>
      <w:r w:rsidR="008D7DCC">
        <w:rPr>
          <w:rFonts w:ascii="Garamond" w:hAnsi="Garamond"/>
          <w:sz w:val="21"/>
          <w:szCs w:val="21"/>
        </w:rPr>
        <w:t>1200 G Street, NW, Suite 725 • Washington, D.C. 20005</w:t>
      </w:r>
      <w:r w:rsidRPr="00261D5D">
        <w:rPr>
          <w:rFonts w:ascii="Garamond" w:hAnsi="Garamond"/>
          <w:sz w:val="21"/>
          <w:szCs w:val="21"/>
        </w:rPr>
        <w:t>.  Admisiones en el Mary’s Center los martes y jueves, en el 3912 de la avenida Georgia noroeste, en Washington, D</w:t>
      </w:r>
      <w:r w:rsidR="008C5350">
        <w:rPr>
          <w:rFonts w:ascii="Garamond" w:hAnsi="Garamond"/>
          <w:sz w:val="21"/>
          <w:szCs w:val="21"/>
        </w:rPr>
        <w:t>.</w:t>
      </w:r>
      <w:r w:rsidRPr="00261D5D">
        <w:rPr>
          <w:rFonts w:ascii="Garamond" w:hAnsi="Garamond"/>
          <w:sz w:val="21"/>
          <w:szCs w:val="21"/>
        </w:rPr>
        <w:t>C</w:t>
      </w:r>
      <w:r w:rsidR="008C5350">
        <w:rPr>
          <w:rFonts w:ascii="Garamond" w:hAnsi="Garamond"/>
          <w:sz w:val="21"/>
          <w:szCs w:val="21"/>
        </w:rPr>
        <w:t>.</w:t>
      </w:r>
      <w:r w:rsidRPr="00261D5D">
        <w:rPr>
          <w:rFonts w:ascii="Garamond" w:hAnsi="Garamond"/>
          <w:sz w:val="21"/>
          <w:szCs w:val="21"/>
        </w:rPr>
        <w:t xml:space="preserve"> 20011</w:t>
      </w:r>
    </w:p>
    <w:sectPr w:rsidR="00D45B8C" w:rsidRPr="00261D5D" w:rsidSect="00F521EE">
      <w:type w:val="continuous"/>
      <w:pgSz w:w="12240" w:h="15840" w:code="1"/>
      <w:pgMar w:top="547" w:right="720" w:bottom="547" w:left="72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D1003" w14:textId="77777777" w:rsidR="003C2C54" w:rsidRDefault="003C2C54">
      <w:r>
        <w:separator/>
      </w:r>
    </w:p>
  </w:endnote>
  <w:endnote w:type="continuationSeparator" w:id="0">
    <w:p w14:paraId="4235C20E" w14:textId="77777777" w:rsidR="003C2C54" w:rsidRDefault="003C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D11A" w14:textId="77777777" w:rsidR="003C2C54" w:rsidRDefault="003C2C54">
      <w:r>
        <w:separator/>
      </w:r>
    </w:p>
  </w:footnote>
  <w:footnote w:type="continuationSeparator" w:id="0">
    <w:p w14:paraId="4C05DED6" w14:textId="77777777" w:rsidR="003C2C54" w:rsidRDefault="003C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FDD1" w14:textId="77777777" w:rsidR="00335DAD" w:rsidRDefault="008D7DCC" w:rsidP="00335DAD">
    <w:pPr>
      <w:spacing w:after="0" w:line="240" w:lineRule="auto"/>
      <w:ind w:left="1440"/>
      <w:rPr>
        <w:rFonts w:asciiTheme="majorHAnsi" w:hAnsiTheme="majorHAnsi"/>
        <w:b/>
        <w:color w:val="1F497D" w:themeColor="text2"/>
        <w:sz w:val="44"/>
        <w:szCs w:val="44"/>
      </w:rPr>
    </w:pPr>
    <w:r w:rsidRPr="00EE1058">
      <w:rPr>
        <w:rFonts w:asciiTheme="majorHAnsi" w:hAnsiTheme="majorHAnsi"/>
        <w:i/>
        <w:iCs/>
        <w:noProof/>
        <w:color w:val="C00000"/>
        <w:sz w:val="44"/>
        <w:szCs w:val="44"/>
        <w:lang w:val="en-US" w:eastAsia="en-US" w:bidi="ar-SA"/>
      </w:rPr>
      <w:drawing>
        <wp:anchor distT="0" distB="0" distL="114300" distR="114300" simplePos="0" relativeHeight="251660288" behindDoc="0" locked="0" layoutInCell="1" allowOverlap="1" wp14:anchorId="53F66E65" wp14:editId="0BBF7BCB">
          <wp:simplePos x="0" y="0"/>
          <wp:positionH relativeFrom="column">
            <wp:posOffset>-5715</wp:posOffset>
          </wp:positionH>
          <wp:positionV relativeFrom="paragraph">
            <wp:posOffset>-32349</wp:posOffset>
          </wp:positionV>
          <wp:extent cx="1015365" cy="1033145"/>
          <wp:effectExtent l="0" t="0" r="0" b="0"/>
          <wp:wrapNone/>
          <wp:docPr id="1" name="Picture 1" descr="C:\Users\JMontgomery\Downloads\1479059_LA008_3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ontgomery\Downloads\1479059_LA008_3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DAD">
      <w:rPr>
        <w:rFonts w:asciiTheme="majorHAnsi" w:hAnsiTheme="majorHAnsi"/>
        <w:b/>
        <w:color w:val="1F497D" w:themeColor="text2"/>
        <w:sz w:val="44"/>
        <w:szCs w:val="44"/>
      </w:rPr>
      <w:t xml:space="preserve">     </w:t>
    </w:r>
    <w:proofErr w:type="spellStart"/>
    <w:r w:rsidRPr="009210CF">
      <w:rPr>
        <w:rFonts w:asciiTheme="majorHAnsi" w:hAnsiTheme="majorHAnsi"/>
        <w:b/>
        <w:color w:val="1F497D" w:themeColor="text2"/>
        <w:sz w:val="44"/>
        <w:szCs w:val="44"/>
      </w:rPr>
      <w:t>Advocates</w:t>
    </w:r>
    <w:proofErr w:type="spellEnd"/>
    <w:r w:rsidRPr="009210CF">
      <w:rPr>
        <w:rFonts w:asciiTheme="majorHAnsi" w:hAnsiTheme="majorHAnsi"/>
        <w:b/>
        <w:color w:val="1F497D" w:themeColor="text2"/>
        <w:sz w:val="44"/>
        <w:szCs w:val="44"/>
      </w:rPr>
      <w:t xml:space="preserve"> </w:t>
    </w:r>
    <w:proofErr w:type="spellStart"/>
    <w:r w:rsidRPr="009210CF">
      <w:rPr>
        <w:rFonts w:asciiTheme="majorHAnsi" w:hAnsiTheme="majorHAnsi"/>
        <w:b/>
        <w:color w:val="1F497D" w:themeColor="text2"/>
        <w:sz w:val="44"/>
        <w:szCs w:val="44"/>
      </w:rPr>
      <w:t>for</w:t>
    </w:r>
    <w:proofErr w:type="spellEnd"/>
    <w:r w:rsidRPr="009210CF">
      <w:rPr>
        <w:rFonts w:asciiTheme="majorHAnsi" w:hAnsiTheme="majorHAnsi"/>
        <w:b/>
        <w:color w:val="1F497D" w:themeColor="text2"/>
        <w:sz w:val="44"/>
        <w:szCs w:val="44"/>
      </w:rPr>
      <w:t xml:space="preserve"> </w:t>
    </w:r>
    <w:proofErr w:type="spellStart"/>
    <w:r w:rsidRPr="009210CF">
      <w:rPr>
        <w:rFonts w:asciiTheme="majorHAnsi" w:hAnsiTheme="majorHAnsi"/>
        <w:b/>
        <w:color w:val="1F497D" w:themeColor="text2"/>
        <w:sz w:val="44"/>
        <w:szCs w:val="44"/>
      </w:rPr>
      <w:t>Justice</w:t>
    </w:r>
    <w:proofErr w:type="spellEnd"/>
    <w:r w:rsidRPr="009210CF">
      <w:rPr>
        <w:rFonts w:asciiTheme="majorHAnsi" w:hAnsiTheme="majorHAnsi"/>
        <w:b/>
        <w:color w:val="1F497D" w:themeColor="text2"/>
        <w:sz w:val="44"/>
        <w:szCs w:val="44"/>
      </w:rPr>
      <w:t xml:space="preserve"> and </w:t>
    </w:r>
    <w:proofErr w:type="spellStart"/>
    <w:r w:rsidRPr="009210CF">
      <w:rPr>
        <w:rFonts w:asciiTheme="majorHAnsi" w:hAnsiTheme="majorHAnsi"/>
        <w:b/>
        <w:color w:val="1F497D" w:themeColor="text2"/>
        <w:sz w:val="44"/>
        <w:szCs w:val="44"/>
      </w:rPr>
      <w:t>Education</w:t>
    </w:r>
    <w:proofErr w:type="gramStart"/>
    <w:r w:rsidRPr="009210CF">
      <w:rPr>
        <w:rFonts w:asciiTheme="majorHAnsi" w:hAnsiTheme="majorHAnsi"/>
        <w:b/>
        <w:color w:val="1F497D" w:themeColor="text2"/>
        <w:sz w:val="44"/>
        <w:szCs w:val="44"/>
      </w:rPr>
      <w:t>,Inc</w:t>
    </w:r>
    <w:proofErr w:type="spellEnd"/>
    <w:proofErr w:type="gramEnd"/>
    <w:r w:rsidRPr="009210CF">
      <w:rPr>
        <w:rFonts w:asciiTheme="majorHAnsi" w:hAnsiTheme="majorHAnsi"/>
        <w:b/>
        <w:color w:val="1F497D" w:themeColor="text2"/>
        <w:sz w:val="44"/>
        <w:szCs w:val="44"/>
      </w:rPr>
      <w:t>.</w:t>
    </w:r>
  </w:p>
  <w:p w14:paraId="10F434CB" w14:textId="4C1FF2CC" w:rsidR="001D6D7B" w:rsidRPr="00335DAD" w:rsidRDefault="00335DAD" w:rsidP="00335DAD">
    <w:pPr>
      <w:spacing w:after="0" w:line="240" w:lineRule="auto"/>
      <w:ind w:left="1440"/>
      <w:rPr>
        <w:rFonts w:asciiTheme="majorHAnsi" w:hAnsiTheme="majorHAnsi"/>
        <w:b/>
        <w:color w:val="1F497D" w:themeColor="text2"/>
        <w:sz w:val="44"/>
        <w:szCs w:val="44"/>
      </w:rPr>
    </w:pPr>
    <w:r>
      <w:rPr>
        <w:rFonts w:asciiTheme="majorHAnsi" w:hAnsiTheme="majorHAnsi"/>
        <w:b/>
        <w:color w:val="1F497D" w:themeColor="text2"/>
        <w:sz w:val="44"/>
        <w:szCs w:val="44"/>
      </w:rPr>
      <w:t xml:space="preserve">    </w:t>
    </w:r>
    <w:r w:rsidR="008D7DCC" w:rsidRPr="00E45CDA">
      <w:rPr>
        <w:rFonts w:ascii="Cambria" w:hAnsi="Cambria" w:cs="Arial"/>
        <w:i/>
        <w:color w:val="C00000"/>
        <w:sz w:val="20"/>
        <w:szCs w:val="20"/>
      </w:rPr>
      <w:t>El</w:t>
    </w:r>
    <w:r w:rsidR="008D7DCC" w:rsidRPr="00E45CDA">
      <w:rPr>
        <w:rFonts w:ascii="Cambria" w:hAnsi="Cambria"/>
        <w:b/>
        <w:color w:val="C00000"/>
        <w:sz w:val="20"/>
        <w:szCs w:val="20"/>
      </w:rPr>
      <w:t xml:space="preserve"> </w:t>
    </w:r>
    <w:r w:rsidR="008D7DCC" w:rsidRPr="00E45CDA">
      <w:rPr>
        <w:rFonts w:ascii="Cambria" w:hAnsi="Cambria" w:cs="Arial"/>
        <w:i/>
        <w:color w:val="C00000"/>
        <w:sz w:val="20"/>
        <w:szCs w:val="20"/>
      </w:rPr>
      <w:t>Centro de Capacitación e Información para Padres de Washington DC designado a nivel federal</w:t>
    </w:r>
  </w:p>
  <w:p w14:paraId="017B0DD5" w14:textId="77777777" w:rsidR="00335DAD" w:rsidRPr="00810D2F" w:rsidRDefault="00335DAD" w:rsidP="00D221BC">
    <w:pPr>
      <w:spacing w:after="0" w:line="240" w:lineRule="auto"/>
      <w:jc w:val="center"/>
      <w:rPr>
        <w:rFonts w:ascii="Georgia" w:hAnsi="Georgia"/>
        <w:b/>
        <w:bCs/>
        <w:color w:val="1F497D" w:themeColor="text2"/>
        <w:sz w:val="20"/>
        <w:szCs w:val="20"/>
      </w:rPr>
    </w:pPr>
  </w:p>
  <w:p w14:paraId="039A065F" w14:textId="77777777" w:rsidR="001D6D7B" w:rsidRPr="00335DAD" w:rsidRDefault="001D6D7B" w:rsidP="00D221BC">
    <w:pPr>
      <w:spacing w:after="0" w:line="240" w:lineRule="auto"/>
      <w:jc w:val="center"/>
      <w:rPr>
        <w:rFonts w:ascii="Georgia" w:hAnsi="Georgia"/>
        <w:b/>
        <w:color w:val="1F497D" w:themeColor="text2"/>
        <w:sz w:val="28"/>
        <w:szCs w:val="28"/>
      </w:rPr>
    </w:pPr>
    <w:r w:rsidRPr="00335DAD">
      <w:rPr>
        <w:rFonts w:ascii="Georgia" w:hAnsi="Georgia"/>
        <w:b/>
        <w:bCs/>
        <w:color w:val="1F497D" w:themeColor="text2"/>
        <w:sz w:val="28"/>
        <w:szCs w:val="28"/>
      </w:rPr>
      <w:t>Conozca sus derechos:</w:t>
    </w:r>
  </w:p>
  <w:p w14:paraId="2CE4F1B3" w14:textId="105CBD93" w:rsidR="001D6D7B" w:rsidRPr="008D7DCC" w:rsidRDefault="001D6D7B" w:rsidP="00C96C7C">
    <w:pPr>
      <w:pStyle w:val="Header"/>
      <w:jc w:val="center"/>
      <w:rPr>
        <w:rFonts w:ascii="Georgia" w:hAnsi="Georgia"/>
        <w:b/>
        <w:color w:val="1F497D" w:themeColor="text2"/>
        <w:sz w:val="24"/>
        <w:szCs w:val="24"/>
      </w:rPr>
    </w:pPr>
    <w:r w:rsidRPr="008D7DCC">
      <w:rPr>
        <w:rFonts w:ascii="Georgia" w:hAnsi="Georgia"/>
        <w:b/>
        <w:bCs/>
        <w:color w:val="1F497D" w:themeColor="text2"/>
        <w:sz w:val="24"/>
        <w:szCs w:val="24"/>
      </w:rPr>
      <w:t>Suspensión y expulsión de estudiantes con discapacidades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9069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5A6329"/>
    <w:multiLevelType w:val="hybridMultilevel"/>
    <w:tmpl w:val="B096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229AB"/>
    <w:multiLevelType w:val="hybridMultilevel"/>
    <w:tmpl w:val="989C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C0C10"/>
    <w:multiLevelType w:val="hybridMultilevel"/>
    <w:tmpl w:val="F5A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E680D"/>
    <w:multiLevelType w:val="hybridMultilevel"/>
    <w:tmpl w:val="01D4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817B8"/>
    <w:multiLevelType w:val="hybridMultilevel"/>
    <w:tmpl w:val="3EDA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A64D9"/>
    <w:multiLevelType w:val="hybridMultilevel"/>
    <w:tmpl w:val="0BD2B536"/>
    <w:lvl w:ilvl="0" w:tplc="D59E8962">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
    <w:nsid w:val="7992327C"/>
    <w:multiLevelType w:val="hybridMultilevel"/>
    <w:tmpl w:val="FA42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B9"/>
    <w:rsid w:val="00002BDD"/>
    <w:rsid w:val="000172BF"/>
    <w:rsid w:val="00030519"/>
    <w:rsid w:val="000366CF"/>
    <w:rsid w:val="000B1FED"/>
    <w:rsid w:val="000D2382"/>
    <w:rsid w:val="000E02F8"/>
    <w:rsid w:val="000E4042"/>
    <w:rsid w:val="00104C97"/>
    <w:rsid w:val="001351B9"/>
    <w:rsid w:val="0013748E"/>
    <w:rsid w:val="001473FD"/>
    <w:rsid w:val="00155231"/>
    <w:rsid w:val="00165C5F"/>
    <w:rsid w:val="00187F8E"/>
    <w:rsid w:val="001A0272"/>
    <w:rsid w:val="001A03EB"/>
    <w:rsid w:val="001B171E"/>
    <w:rsid w:val="001B74D1"/>
    <w:rsid w:val="001C33AC"/>
    <w:rsid w:val="001D43FE"/>
    <w:rsid w:val="001D5BAE"/>
    <w:rsid w:val="001D6D7B"/>
    <w:rsid w:val="001E7596"/>
    <w:rsid w:val="001F2C50"/>
    <w:rsid w:val="001F2FF5"/>
    <w:rsid w:val="002151E9"/>
    <w:rsid w:val="00245414"/>
    <w:rsid w:val="002479CD"/>
    <w:rsid w:val="00261D5D"/>
    <w:rsid w:val="0026789C"/>
    <w:rsid w:val="002A2449"/>
    <w:rsid w:val="002C36D9"/>
    <w:rsid w:val="0030002C"/>
    <w:rsid w:val="003116DB"/>
    <w:rsid w:val="0032240F"/>
    <w:rsid w:val="00335DAD"/>
    <w:rsid w:val="003438B8"/>
    <w:rsid w:val="00343C69"/>
    <w:rsid w:val="00345FD5"/>
    <w:rsid w:val="00353BD7"/>
    <w:rsid w:val="003638C9"/>
    <w:rsid w:val="00363FA6"/>
    <w:rsid w:val="00365CCA"/>
    <w:rsid w:val="0038497B"/>
    <w:rsid w:val="003C2C54"/>
    <w:rsid w:val="003F0BDD"/>
    <w:rsid w:val="003F1EF0"/>
    <w:rsid w:val="003F267D"/>
    <w:rsid w:val="003F77EC"/>
    <w:rsid w:val="00401828"/>
    <w:rsid w:val="00403EA9"/>
    <w:rsid w:val="0042126F"/>
    <w:rsid w:val="004237FD"/>
    <w:rsid w:val="00431910"/>
    <w:rsid w:val="004436E3"/>
    <w:rsid w:val="00446A29"/>
    <w:rsid w:val="00462AA2"/>
    <w:rsid w:val="004A3530"/>
    <w:rsid w:val="004A512C"/>
    <w:rsid w:val="004B0785"/>
    <w:rsid w:val="004B1BEF"/>
    <w:rsid w:val="004C7225"/>
    <w:rsid w:val="004C77EA"/>
    <w:rsid w:val="004F02FA"/>
    <w:rsid w:val="0053395F"/>
    <w:rsid w:val="005354A7"/>
    <w:rsid w:val="0054305C"/>
    <w:rsid w:val="00566866"/>
    <w:rsid w:val="0058020E"/>
    <w:rsid w:val="005E3A83"/>
    <w:rsid w:val="005F3A4A"/>
    <w:rsid w:val="00616436"/>
    <w:rsid w:val="00623AD0"/>
    <w:rsid w:val="00632F42"/>
    <w:rsid w:val="006369FB"/>
    <w:rsid w:val="00636A1C"/>
    <w:rsid w:val="0063792A"/>
    <w:rsid w:val="00641E31"/>
    <w:rsid w:val="00671767"/>
    <w:rsid w:val="00677003"/>
    <w:rsid w:val="0068015B"/>
    <w:rsid w:val="006C3373"/>
    <w:rsid w:val="006D7BE0"/>
    <w:rsid w:val="006F7436"/>
    <w:rsid w:val="007272D0"/>
    <w:rsid w:val="007370D7"/>
    <w:rsid w:val="00751B1F"/>
    <w:rsid w:val="00753AEF"/>
    <w:rsid w:val="007560AC"/>
    <w:rsid w:val="00766564"/>
    <w:rsid w:val="0077113D"/>
    <w:rsid w:val="00775FA1"/>
    <w:rsid w:val="007926DC"/>
    <w:rsid w:val="007A00A6"/>
    <w:rsid w:val="007B038B"/>
    <w:rsid w:val="007B70C1"/>
    <w:rsid w:val="007D08C8"/>
    <w:rsid w:val="00810D2F"/>
    <w:rsid w:val="00822EAC"/>
    <w:rsid w:val="0084789A"/>
    <w:rsid w:val="00854FD0"/>
    <w:rsid w:val="008744D7"/>
    <w:rsid w:val="0088347C"/>
    <w:rsid w:val="008A2276"/>
    <w:rsid w:val="008B4127"/>
    <w:rsid w:val="008C5350"/>
    <w:rsid w:val="008D539D"/>
    <w:rsid w:val="008D7DCC"/>
    <w:rsid w:val="008E3187"/>
    <w:rsid w:val="0094241A"/>
    <w:rsid w:val="00947D78"/>
    <w:rsid w:val="00947F77"/>
    <w:rsid w:val="009525A9"/>
    <w:rsid w:val="00961B61"/>
    <w:rsid w:val="00962C73"/>
    <w:rsid w:val="00964965"/>
    <w:rsid w:val="0097531C"/>
    <w:rsid w:val="00983CDB"/>
    <w:rsid w:val="009900C3"/>
    <w:rsid w:val="009C16C9"/>
    <w:rsid w:val="009C4233"/>
    <w:rsid w:val="009C48AE"/>
    <w:rsid w:val="009E11E8"/>
    <w:rsid w:val="00A000C0"/>
    <w:rsid w:val="00A011DD"/>
    <w:rsid w:val="00A10260"/>
    <w:rsid w:val="00A2062E"/>
    <w:rsid w:val="00A211C9"/>
    <w:rsid w:val="00A27A12"/>
    <w:rsid w:val="00A46C96"/>
    <w:rsid w:val="00A66782"/>
    <w:rsid w:val="00A766BE"/>
    <w:rsid w:val="00A83E34"/>
    <w:rsid w:val="00AA71C9"/>
    <w:rsid w:val="00AC0778"/>
    <w:rsid w:val="00AD1564"/>
    <w:rsid w:val="00B10973"/>
    <w:rsid w:val="00B123C5"/>
    <w:rsid w:val="00B40BE8"/>
    <w:rsid w:val="00B42913"/>
    <w:rsid w:val="00B71D5B"/>
    <w:rsid w:val="00B7785A"/>
    <w:rsid w:val="00B80958"/>
    <w:rsid w:val="00B8258E"/>
    <w:rsid w:val="00B9361D"/>
    <w:rsid w:val="00BA6496"/>
    <w:rsid w:val="00BB365F"/>
    <w:rsid w:val="00BC437A"/>
    <w:rsid w:val="00BD0B61"/>
    <w:rsid w:val="00BF358B"/>
    <w:rsid w:val="00BF48D3"/>
    <w:rsid w:val="00C02FE6"/>
    <w:rsid w:val="00C14004"/>
    <w:rsid w:val="00C27FE2"/>
    <w:rsid w:val="00C44ECC"/>
    <w:rsid w:val="00C454E8"/>
    <w:rsid w:val="00C51E75"/>
    <w:rsid w:val="00C90C6D"/>
    <w:rsid w:val="00C9262C"/>
    <w:rsid w:val="00C96C7C"/>
    <w:rsid w:val="00CD11BF"/>
    <w:rsid w:val="00CD6BF0"/>
    <w:rsid w:val="00CF4BE3"/>
    <w:rsid w:val="00D221BC"/>
    <w:rsid w:val="00D22C53"/>
    <w:rsid w:val="00D343A9"/>
    <w:rsid w:val="00D4063C"/>
    <w:rsid w:val="00D44E41"/>
    <w:rsid w:val="00D45B8C"/>
    <w:rsid w:val="00D66F05"/>
    <w:rsid w:val="00D81C68"/>
    <w:rsid w:val="00D9284F"/>
    <w:rsid w:val="00DA7FBB"/>
    <w:rsid w:val="00DB3BCB"/>
    <w:rsid w:val="00DB65AE"/>
    <w:rsid w:val="00DD64A8"/>
    <w:rsid w:val="00E0056E"/>
    <w:rsid w:val="00E02E7C"/>
    <w:rsid w:val="00E139A1"/>
    <w:rsid w:val="00E139D7"/>
    <w:rsid w:val="00E150EC"/>
    <w:rsid w:val="00E669F1"/>
    <w:rsid w:val="00E672CD"/>
    <w:rsid w:val="00E67BDA"/>
    <w:rsid w:val="00E700B6"/>
    <w:rsid w:val="00E92407"/>
    <w:rsid w:val="00EA4146"/>
    <w:rsid w:val="00EC53F4"/>
    <w:rsid w:val="00EE2BD9"/>
    <w:rsid w:val="00EF1579"/>
    <w:rsid w:val="00F05ACC"/>
    <w:rsid w:val="00F211D0"/>
    <w:rsid w:val="00F46E40"/>
    <w:rsid w:val="00F521EE"/>
    <w:rsid w:val="00F60559"/>
    <w:rsid w:val="00F609AD"/>
    <w:rsid w:val="00F81E50"/>
    <w:rsid w:val="00FA0331"/>
    <w:rsid w:val="00FC2F57"/>
    <w:rsid w:val="00FD57CA"/>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1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US" w:bidi="es-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pPr>
      <w:numPr>
        <w:numId w:val="1"/>
      </w:numPr>
    </w:pPr>
  </w:style>
  <w:style w:type="paragraph" w:styleId="ListParagraph">
    <w:name w:val="List Paragraph"/>
    <w:basedOn w:val="Normal"/>
    <w:qFormat/>
    <w:pPr>
      <w:ind w:left="720"/>
      <w:contextualSpacing/>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88347C"/>
    <w:rPr>
      <w:rFonts w:ascii="Calibri" w:hAnsi="Calibri"/>
      <w:sz w:val="22"/>
      <w:szCs w:val="22"/>
    </w:rPr>
  </w:style>
  <w:style w:type="paragraph" w:customStyle="1" w:styleId="Default">
    <w:name w:val="Default"/>
    <w:rsid w:val="00C14004"/>
    <w:pPr>
      <w:autoSpaceDE w:val="0"/>
      <w:autoSpaceDN w:val="0"/>
      <w:adjustRightInd w:val="0"/>
    </w:pPr>
    <w:rPr>
      <w:color w:val="000000"/>
      <w:sz w:val="24"/>
      <w:szCs w:val="24"/>
    </w:rPr>
  </w:style>
  <w:style w:type="character" w:styleId="CommentReference">
    <w:name w:val="annotation reference"/>
    <w:basedOn w:val="DefaultParagraphFont"/>
    <w:rsid w:val="00983CDB"/>
    <w:rPr>
      <w:sz w:val="18"/>
      <w:szCs w:val="18"/>
    </w:rPr>
  </w:style>
  <w:style w:type="paragraph" w:styleId="CommentText">
    <w:name w:val="annotation text"/>
    <w:basedOn w:val="Normal"/>
    <w:link w:val="CommentTextChar"/>
    <w:rsid w:val="00983CDB"/>
    <w:rPr>
      <w:sz w:val="24"/>
      <w:szCs w:val="24"/>
    </w:rPr>
  </w:style>
  <w:style w:type="character" w:customStyle="1" w:styleId="CommentTextChar">
    <w:name w:val="Comment Text Char"/>
    <w:basedOn w:val="DefaultParagraphFont"/>
    <w:link w:val="CommentText"/>
    <w:rsid w:val="00983CDB"/>
    <w:rPr>
      <w:rFonts w:ascii="Calibri" w:hAnsi="Calibri"/>
      <w:sz w:val="24"/>
      <w:szCs w:val="24"/>
    </w:rPr>
  </w:style>
  <w:style w:type="paragraph" w:styleId="CommentSubject">
    <w:name w:val="annotation subject"/>
    <w:basedOn w:val="CommentText"/>
    <w:next w:val="CommentText"/>
    <w:link w:val="CommentSubjectChar"/>
    <w:rsid w:val="00983CDB"/>
    <w:rPr>
      <w:b/>
      <w:bCs/>
      <w:sz w:val="20"/>
      <w:szCs w:val="20"/>
    </w:rPr>
  </w:style>
  <w:style w:type="character" w:customStyle="1" w:styleId="CommentSubjectChar">
    <w:name w:val="Comment Subject Char"/>
    <w:basedOn w:val="CommentTextChar"/>
    <w:link w:val="CommentSubject"/>
    <w:rsid w:val="00983CDB"/>
    <w:rPr>
      <w:rFonts w:ascii="Calibri" w:hAnsi="Calibri"/>
      <w:b/>
      <w:bCs/>
      <w:sz w:val="24"/>
      <w:szCs w:val="24"/>
    </w:rPr>
  </w:style>
  <w:style w:type="paragraph" w:styleId="Revision">
    <w:name w:val="Revision"/>
    <w:hidden/>
    <w:uiPriority w:val="99"/>
    <w:semiHidden/>
    <w:rsid w:val="00983CDB"/>
    <w:rPr>
      <w:rFonts w:ascii="Calibri" w:hAnsi="Calibri"/>
      <w:sz w:val="22"/>
      <w:szCs w:val="22"/>
    </w:rPr>
  </w:style>
  <w:style w:type="paragraph" w:styleId="NoSpacing">
    <w:name w:val="No Spacing"/>
    <w:uiPriority w:val="1"/>
    <w:qFormat/>
    <w:rsid w:val="0096496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US" w:bidi="es-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pPr>
      <w:numPr>
        <w:numId w:val="1"/>
      </w:numPr>
    </w:pPr>
  </w:style>
  <w:style w:type="paragraph" w:styleId="ListParagraph">
    <w:name w:val="List Paragraph"/>
    <w:basedOn w:val="Normal"/>
    <w:qFormat/>
    <w:pPr>
      <w:ind w:left="720"/>
      <w:contextualSpacing/>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88347C"/>
    <w:rPr>
      <w:rFonts w:ascii="Calibri" w:hAnsi="Calibri"/>
      <w:sz w:val="22"/>
      <w:szCs w:val="22"/>
    </w:rPr>
  </w:style>
  <w:style w:type="paragraph" w:customStyle="1" w:styleId="Default">
    <w:name w:val="Default"/>
    <w:rsid w:val="00C14004"/>
    <w:pPr>
      <w:autoSpaceDE w:val="0"/>
      <w:autoSpaceDN w:val="0"/>
      <w:adjustRightInd w:val="0"/>
    </w:pPr>
    <w:rPr>
      <w:color w:val="000000"/>
      <w:sz w:val="24"/>
      <w:szCs w:val="24"/>
    </w:rPr>
  </w:style>
  <w:style w:type="character" w:styleId="CommentReference">
    <w:name w:val="annotation reference"/>
    <w:basedOn w:val="DefaultParagraphFont"/>
    <w:rsid w:val="00983CDB"/>
    <w:rPr>
      <w:sz w:val="18"/>
      <w:szCs w:val="18"/>
    </w:rPr>
  </w:style>
  <w:style w:type="paragraph" w:styleId="CommentText">
    <w:name w:val="annotation text"/>
    <w:basedOn w:val="Normal"/>
    <w:link w:val="CommentTextChar"/>
    <w:rsid w:val="00983CDB"/>
    <w:rPr>
      <w:sz w:val="24"/>
      <w:szCs w:val="24"/>
    </w:rPr>
  </w:style>
  <w:style w:type="character" w:customStyle="1" w:styleId="CommentTextChar">
    <w:name w:val="Comment Text Char"/>
    <w:basedOn w:val="DefaultParagraphFont"/>
    <w:link w:val="CommentText"/>
    <w:rsid w:val="00983CDB"/>
    <w:rPr>
      <w:rFonts w:ascii="Calibri" w:hAnsi="Calibri"/>
      <w:sz w:val="24"/>
      <w:szCs w:val="24"/>
    </w:rPr>
  </w:style>
  <w:style w:type="paragraph" w:styleId="CommentSubject">
    <w:name w:val="annotation subject"/>
    <w:basedOn w:val="CommentText"/>
    <w:next w:val="CommentText"/>
    <w:link w:val="CommentSubjectChar"/>
    <w:rsid w:val="00983CDB"/>
    <w:rPr>
      <w:b/>
      <w:bCs/>
      <w:sz w:val="20"/>
      <w:szCs w:val="20"/>
    </w:rPr>
  </w:style>
  <w:style w:type="character" w:customStyle="1" w:styleId="CommentSubjectChar">
    <w:name w:val="Comment Subject Char"/>
    <w:basedOn w:val="CommentTextChar"/>
    <w:link w:val="CommentSubject"/>
    <w:rsid w:val="00983CDB"/>
    <w:rPr>
      <w:rFonts w:ascii="Calibri" w:hAnsi="Calibri"/>
      <w:b/>
      <w:bCs/>
      <w:sz w:val="24"/>
      <w:szCs w:val="24"/>
    </w:rPr>
  </w:style>
  <w:style w:type="paragraph" w:styleId="Revision">
    <w:name w:val="Revision"/>
    <w:hidden/>
    <w:uiPriority w:val="99"/>
    <w:semiHidden/>
    <w:rsid w:val="00983CDB"/>
    <w:rPr>
      <w:rFonts w:ascii="Calibri" w:hAnsi="Calibri"/>
      <w:sz w:val="22"/>
      <w:szCs w:val="22"/>
    </w:rPr>
  </w:style>
  <w:style w:type="paragraph" w:styleId="NoSpacing">
    <w:name w:val="No Spacing"/>
    <w:uiPriority w:val="1"/>
    <w:qFormat/>
    <w:rsid w:val="0096496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3600">
      <w:bodyDiv w:val="1"/>
      <w:marLeft w:val="0"/>
      <w:marRight w:val="0"/>
      <w:marTop w:val="0"/>
      <w:marBottom w:val="0"/>
      <w:divBdr>
        <w:top w:val="none" w:sz="0" w:space="0" w:color="auto"/>
        <w:left w:val="none" w:sz="0" w:space="0" w:color="auto"/>
        <w:bottom w:val="none" w:sz="0" w:space="0" w:color="auto"/>
        <w:right w:val="none" w:sz="0" w:space="0" w:color="auto"/>
      </w:divBdr>
      <w:divsChild>
        <w:div w:id="624652905">
          <w:marLeft w:val="547"/>
          <w:marRight w:val="0"/>
          <w:marTop w:val="100"/>
          <w:marBottom w:val="0"/>
          <w:divBdr>
            <w:top w:val="none" w:sz="0" w:space="0" w:color="auto"/>
            <w:left w:val="none" w:sz="0" w:space="0" w:color="auto"/>
            <w:bottom w:val="none" w:sz="0" w:space="0" w:color="auto"/>
            <w:right w:val="none" w:sz="0" w:space="0" w:color="auto"/>
          </w:divBdr>
        </w:div>
      </w:divsChild>
    </w:div>
    <w:div w:id="1598832735">
      <w:bodyDiv w:val="1"/>
      <w:marLeft w:val="0"/>
      <w:marRight w:val="0"/>
      <w:marTop w:val="0"/>
      <w:marBottom w:val="0"/>
      <w:divBdr>
        <w:top w:val="none" w:sz="0" w:space="0" w:color="auto"/>
        <w:left w:val="none" w:sz="0" w:space="0" w:color="auto"/>
        <w:bottom w:val="none" w:sz="0" w:space="0" w:color="auto"/>
        <w:right w:val="none" w:sz="0" w:space="0" w:color="auto"/>
      </w:divBdr>
    </w:div>
    <w:div w:id="164751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7055">
          <w:marLeft w:val="547"/>
          <w:marRight w:val="0"/>
          <w:marTop w:val="100"/>
          <w:marBottom w:val="0"/>
          <w:divBdr>
            <w:top w:val="none" w:sz="0" w:space="0" w:color="auto"/>
            <w:left w:val="none" w:sz="0" w:space="0" w:color="auto"/>
            <w:bottom w:val="none" w:sz="0" w:space="0" w:color="auto"/>
            <w:right w:val="none" w:sz="0" w:space="0" w:color="auto"/>
          </w:divBdr>
        </w:div>
      </w:divsChild>
    </w:div>
    <w:div w:id="1808474237">
      <w:bodyDiv w:val="1"/>
      <w:marLeft w:val="0"/>
      <w:marRight w:val="0"/>
      <w:marTop w:val="0"/>
      <w:marBottom w:val="0"/>
      <w:divBdr>
        <w:top w:val="none" w:sz="0" w:space="0" w:color="auto"/>
        <w:left w:val="none" w:sz="0" w:space="0" w:color="auto"/>
        <w:bottom w:val="none" w:sz="0" w:space="0" w:color="auto"/>
        <w:right w:val="none" w:sz="0" w:space="0" w:color="auto"/>
      </w:divBdr>
      <w:divsChild>
        <w:div w:id="1041785192">
          <w:marLeft w:val="547"/>
          <w:marRight w:val="0"/>
          <w:marTop w:val="96"/>
          <w:marBottom w:val="0"/>
          <w:divBdr>
            <w:top w:val="none" w:sz="0" w:space="0" w:color="auto"/>
            <w:left w:val="none" w:sz="0" w:space="0" w:color="auto"/>
            <w:bottom w:val="none" w:sz="0" w:space="0" w:color="auto"/>
            <w:right w:val="none" w:sz="0" w:space="0" w:color="auto"/>
          </w:divBdr>
        </w:div>
      </w:divsChild>
    </w:div>
    <w:div w:id="2025017220">
      <w:bodyDiv w:val="1"/>
      <w:marLeft w:val="0"/>
      <w:marRight w:val="0"/>
      <w:marTop w:val="0"/>
      <w:marBottom w:val="0"/>
      <w:divBdr>
        <w:top w:val="none" w:sz="0" w:space="0" w:color="auto"/>
        <w:left w:val="none" w:sz="0" w:space="0" w:color="auto"/>
        <w:bottom w:val="none" w:sz="0" w:space="0" w:color="auto"/>
        <w:right w:val="none" w:sz="0" w:space="0" w:color="auto"/>
      </w:divBdr>
      <w:divsChild>
        <w:div w:id="199366360">
          <w:marLeft w:val="547"/>
          <w:marRight w:val="0"/>
          <w:marTop w:val="100"/>
          <w:marBottom w:val="0"/>
          <w:divBdr>
            <w:top w:val="none" w:sz="0" w:space="0" w:color="auto"/>
            <w:left w:val="none" w:sz="0" w:space="0" w:color="auto"/>
            <w:bottom w:val="none" w:sz="0" w:space="0" w:color="auto"/>
            <w:right w:val="none" w:sz="0" w:space="0" w:color="auto"/>
          </w:divBdr>
        </w:div>
      </w:divsChild>
    </w:div>
    <w:div w:id="21358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1060-E4E4-461A-A909-42FE0526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FREE TRAINING FOR</vt:lpstr>
    </vt:vector>
  </TitlesOfParts>
  <Company>Microsoft</Company>
  <LinksUpToDate>false</LinksUpToDate>
  <CharactersWithSpaces>8975</CharactersWithSpaces>
  <SharedDoc>false</SharedDoc>
  <HLinks>
    <vt:vector size="132" baseType="variant">
      <vt:variant>
        <vt:i4>2228305</vt:i4>
      </vt:variant>
      <vt:variant>
        <vt:i4>63</vt:i4>
      </vt:variant>
      <vt:variant>
        <vt:i4>0</vt:i4>
      </vt:variant>
      <vt:variant>
        <vt:i4>5</vt:i4>
      </vt:variant>
      <vt:variant>
        <vt:lpwstr>mailto:terry.decarbo@dc.gov</vt:lpwstr>
      </vt:variant>
      <vt:variant>
        <vt:lpwstr/>
      </vt:variant>
      <vt:variant>
        <vt:i4>7733354</vt:i4>
      </vt:variant>
      <vt:variant>
        <vt:i4>60</vt:i4>
      </vt:variant>
      <vt:variant>
        <vt:i4>0</vt:i4>
      </vt:variant>
      <vt:variant>
        <vt:i4>5</vt:i4>
      </vt:variant>
      <vt:variant>
        <vt:lpwstr>http://dcps.dc.gov/vgn-ext-templating/v/index.jsp?vgnextoid=ffd8ab73cd761310VgnVCM2000002a05c90aRCRD&amp;vgnextchannel=9f68fa5c266d1210VgnVCM100000b912010aRCRD</vt:lpwstr>
      </vt:variant>
      <vt:variant>
        <vt:lpwstr/>
      </vt:variant>
      <vt:variant>
        <vt:i4>327776</vt:i4>
      </vt:variant>
      <vt:variant>
        <vt:i4>57</vt:i4>
      </vt:variant>
      <vt:variant>
        <vt:i4>0</vt:i4>
      </vt:variant>
      <vt:variant>
        <vt:i4>5</vt:i4>
      </vt:variant>
      <vt:variant>
        <vt:lpwstr>mailto:thomas.anderson@dc.gov</vt:lpwstr>
      </vt:variant>
      <vt:variant>
        <vt:lpwstr/>
      </vt:variant>
      <vt:variant>
        <vt:i4>2555967</vt:i4>
      </vt:variant>
      <vt:variant>
        <vt:i4>54</vt:i4>
      </vt:variant>
      <vt:variant>
        <vt:i4>0</vt:i4>
      </vt:variant>
      <vt:variant>
        <vt:i4>5</vt:i4>
      </vt:variant>
      <vt:variant>
        <vt:lpwstr>http://dcps.dc.gov/vgn-ext-templating/v/index.jsp?vgnextoid=cfd774ed849a3310VgnVCM1000002905c90aRCRD&amp;vgnextchannel=9f68fa5c266d1210VgnVCM100000b912010aRCRD</vt:lpwstr>
      </vt:variant>
      <vt:variant>
        <vt:lpwstr/>
      </vt:variant>
      <vt:variant>
        <vt:i4>983164</vt:i4>
      </vt:variant>
      <vt:variant>
        <vt:i4>51</vt:i4>
      </vt:variant>
      <vt:variant>
        <vt:i4>0</vt:i4>
      </vt:variant>
      <vt:variant>
        <vt:i4>5</vt:i4>
      </vt:variant>
      <vt:variant>
        <vt:lpwstr>mailto:daniel.shea@dc.gov</vt:lpwstr>
      </vt:variant>
      <vt:variant>
        <vt:lpwstr/>
      </vt:variant>
      <vt:variant>
        <vt:i4>7602232</vt:i4>
      </vt:variant>
      <vt:variant>
        <vt:i4>48</vt:i4>
      </vt:variant>
      <vt:variant>
        <vt:i4>0</vt:i4>
      </vt:variant>
      <vt:variant>
        <vt:i4>5</vt:i4>
      </vt:variant>
      <vt:variant>
        <vt:lpwstr>http://dcps.dc.gov/vgn-ext-templating/v/index.jsp?vgnextoid=ee59ab73cd761310VgnVCM2000002a05c90aRCRD&amp;vgnextchannel=9f68fa5c266d1210VgnVCM100000b912010aRCRD</vt:lpwstr>
      </vt:variant>
      <vt:variant>
        <vt:lpwstr/>
      </vt:variant>
      <vt:variant>
        <vt:i4>7864321</vt:i4>
      </vt:variant>
      <vt:variant>
        <vt:i4>45</vt:i4>
      </vt:variant>
      <vt:variant>
        <vt:i4>0</vt:i4>
      </vt:variant>
      <vt:variant>
        <vt:i4>5</vt:i4>
      </vt:variant>
      <vt:variant>
        <vt:lpwstr>mailto:mark.king@dc.gov</vt:lpwstr>
      </vt:variant>
      <vt:variant>
        <vt:lpwstr/>
      </vt:variant>
      <vt:variant>
        <vt:i4>2424889</vt:i4>
      </vt:variant>
      <vt:variant>
        <vt:i4>42</vt:i4>
      </vt:variant>
      <vt:variant>
        <vt:i4>0</vt:i4>
      </vt:variant>
      <vt:variant>
        <vt:i4>5</vt:i4>
      </vt:variant>
      <vt:variant>
        <vt:lpwstr>http://dcps.dc.gov/vgn-ext-templating/v/index.jsp?vgnextoid=f87ef0d93b8a9210VgnVCM1000002905c90aRCRD&amp;vgnextchannel=9f68fa5c266d1210VgnVCM100000b912010aRCRD</vt:lpwstr>
      </vt:variant>
      <vt:variant>
        <vt:lpwstr/>
      </vt:variant>
      <vt:variant>
        <vt:i4>2490448</vt:i4>
      </vt:variant>
      <vt:variant>
        <vt:i4>39</vt:i4>
      </vt:variant>
      <vt:variant>
        <vt:i4>0</vt:i4>
      </vt:variant>
      <vt:variant>
        <vt:i4>5</vt:i4>
      </vt:variant>
      <vt:variant>
        <vt:lpwstr>mailto:lolli.haws@dc.gov</vt:lpwstr>
      </vt:variant>
      <vt:variant>
        <vt:lpwstr/>
      </vt:variant>
      <vt:variant>
        <vt:i4>3014765</vt:i4>
      </vt:variant>
      <vt:variant>
        <vt:i4>36</vt:i4>
      </vt:variant>
      <vt:variant>
        <vt:i4>0</vt:i4>
      </vt:variant>
      <vt:variant>
        <vt:i4>5</vt:i4>
      </vt:variant>
      <vt:variant>
        <vt:lpwstr>http://dcps.dc.gov/vgn-ext-templating/v/index.jsp?vgnextoid=d2adf0d93b8a9210VgnVCM1000002905c90aRCRD&amp;vgnextchannel=9f68fa5c266d1210VgnVCM100000b912010aRCRD</vt:lpwstr>
      </vt:variant>
      <vt:variant>
        <vt:lpwstr/>
      </vt:variant>
      <vt:variant>
        <vt:i4>3145801</vt:i4>
      </vt:variant>
      <vt:variant>
        <vt:i4>33</vt:i4>
      </vt:variant>
      <vt:variant>
        <vt:i4>0</vt:i4>
      </vt:variant>
      <vt:variant>
        <vt:i4>5</vt:i4>
      </vt:variant>
      <vt:variant>
        <vt:lpwstr>mailto:stephen.zagami@dc.gov</vt:lpwstr>
      </vt:variant>
      <vt:variant>
        <vt:lpwstr/>
      </vt:variant>
      <vt:variant>
        <vt:i4>7798842</vt:i4>
      </vt:variant>
      <vt:variant>
        <vt:i4>30</vt:i4>
      </vt:variant>
      <vt:variant>
        <vt:i4>0</vt:i4>
      </vt:variant>
      <vt:variant>
        <vt:i4>5</vt:i4>
      </vt:variant>
      <vt:variant>
        <vt:lpwstr>http://dcps.dc.gov/vgn-ext-templating/v/index.jsp?vgnextoid=380f1d01b78a9210VgnVCM2000002a05c90aRCRD&amp;vgnextchannel=9f68fa5c266d1210VgnVCM100000b912010aRCRD</vt:lpwstr>
      </vt:variant>
      <vt:variant>
        <vt:lpwstr/>
      </vt:variant>
      <vt:variant>
        <vt:i4>721020</vt:i4>
      </vt:variant>
      <vt:variant>
        <vt:i4>27</vt:i4>
      </vt:variant>
      <vt:variant>
        <vt:i4>0</vt:i4>
      </vt:variant>
      <vt:variant>
        <vt:i4>5</vt:i4>
      </vt:variant>
      <vt:variant>
        <vt:lpwstr>mailto:jacqueline.gartrell@dc.gov</vt:lpwstr>
      </vt:variant>
      <vt:variant>
        <vt:lpwstr/>
      </vt:variant>
      <vt:variant>
        <vt:i4>2162798</vt:i4>
      </vt:variant>
      <vt:variant>
        <vt:i4>24</vt:i4>
      </vt:variant>
      <vt:variant>
        <vt:i4>0</vt:i4>
      </vt:variant>
      <vt:variant>
        <vt:i4>5</vt:i4>
      </vt:variant>
      <vt:variant>
        <vt:lpwstr>http://dcps.dc.gov/vgn-ext-templating/v/index.jsp?vgnextoid=1178ab73cd761310VgnVCM2000002a05c90aRCRD&amp;vgnextchannel=9f68fa5c266d1210VgnVCM100000b912010aRCRD</vt:lpwstr>
      </vt:variant>
      <vt:variant>
        <vt:lpwstr/>
      </vt:variant>
      <vt:variant>
        <vt:i4>7274514</vt:i4>
      </vt:variant>
      <vt:variant>
        <vt:i4>21</vt:i4>
      </vt:variant>
      <vt:variant>
        <vt:i4>0</vt:i4>
      </vt:variant>
      <vt:variant>
        <vt:i4>5</vt:i4>
      </vt:variant>
      <vt:variant>
        <vt:lpwstr>mailto:errick.greene@dc.gov</vt:lpwstr>
      </vt:variant>
      <vt:variant>
        <vt:lpwstr/>
      </vt:variant>
      <vt:variant>
        <vt:i4>7929917</vt:i4>
      </vt:variant>
      <vt:variant>
        <vt:i4>18</vt:i4>
      </vt:variant>
      <vt:variant>
        <vt:i4>0</vt:i4>
      </vt:variant>
      <vt:variant>
        <vt:i4>5</vt:i4>
      </vt:variant>
      <vt:variant>
        <vt:lpwstr>http://dcps.dc.gov/vgn-ext-templating/v/index.jsp?vgnextoid=aee7d16f970a9210VgnVCM2000002a05c90aRCRD&amp;vgnextchannel=9f68fa5c266d1210VgnVCM100000b912010aRCRD</vt:lpwstr>
      </vt:variant>
      <vt:variant>
        <vt:lpwstr/>
      </vt:variant>
      <vt:variant>
        <vt:i4>327806</vt:i4>
      </vt:variant>
      <vt:variant>
        <vt:i4>15</vt:i4>
      </vt:variant>
      <vt:variant>
        <vt:i4>0</vt:i4>
      </vt:variant>
      <vt:variant>
        <vt:i4>5</vt:i4>
      </vt:variant>
      <vt:variant>
        <vt:lpwstr>mailto:amanda.alexander@dc.gov</vt:lpwstr>
      </vt:variant>
      <vt:variant>
        <vt:lpwstr/>
      </vt:variant>
      <vt:variant>
        <vt:i4>2359349</vt:i4>
      </vt:variant>
      <vt:variant>
        <vt:i4>12</vt:i4>
      </vt:variant>
      <vt:variant>
        <vt:i4>0</vt:i4>
      </vt:variant>
      <vt:variant>
        <vt:i4>5</vt:i4>
      </vt:variant>
      <vt:variant>
        <vt:lpwstr>http://dcps.dc.gov/vgn-ext-templating/v/index.jsp?vgnextoid=74c9c380a8989210VgnVCM2000002a05c90aRCRD&amp;vgnextchannel=9f68fa5c266d1210VgnVCM100000b912010aRCRD</vt:lpwstr>
      </vt:variant>
      <vt:variant>
        <vt:lpwstr/>
      </vt:variant>
      <vt:variant>
        <vt:i4>5242923</vt:i4>
      </vt:variant>
      <vt:variant>
        <vt:i4>9</vt:i4>
      </vt:variant>
      <vt:variant>
        <vt:i4>0</vt:i4>
      </vt:variant>
      <vt:variant>
        <vt:i4>5</vt:i4>
      </vt:variant>
      <vt:variant>
        <vt:lpwstr>mailto:clara.canty@dc.gov</vt:lpwstr>
      </vt:variant>
      <vt:variant>
        <vt:lpwstr/>
      </vt:variant>
      <vt:variant>
        <vt:i4>2359346</vt:i4>
      </vt:variant>
      <vt:variant>
        <vt:i4>6</vt:i4>
      </vt:variant>
      <vt:variant>
        <vt:i4>0</vt:i4>
      </vt:variant>
      <vt:variant>
        <vt:i4>5</vt:i4>
      </vt:variant>
      <vt:variant>
        <vt:lpwstr>http://dcps.dc.gov/vgn-ext-templating/v/index.jsp?vgnextoid=7f1aa887c2482210VgnVCM1000007e6f0201RCRD&amp;vgnextchannel=9f68fa5c266d1210VgnVCM100000b912010aRCRD</vt:lpwstr>
      </vt:variant>
      <vt:variant>
        <vt:lpwstr/>
      </vt:variant>
      <vt:variant>
        <vt:i4>5373988</vt:i4>
      </vt:variant>
      <vt:variant>
        <vt:i4>3</vt:i4>
      </vt:variant>
      <vt:variant>
        <vt:i4>0</vt:i4>
      </vt:variant>
      <vt:variant>
        <vt:i4>5</vt:i4>
      </vt:variant>
      <vt:variant>
        <vt:lpwstr>mailto:barbara.adderley@dc.gov</vt:lpwstr>
      </vt:variant>
      <vt:variant>
        <vt:lpwstr/>
      </vt:variant>
      <vt:variant>
        <vt:i4>7405676</vt:i4>
      </vt:variant>
      <vt:variant>
        <vt:i4>0</vt:i4>
      </vt:variant>
      <vt:variant>
        <vt:i4>0</vt:i4>
      </vt:variant>
      <vt:variant>
        <vt:i4>5</vt:i4>
      </vt:variant>
      <vt:variant>
        <vt:lpwstr>http://dcps.dc.gov/vgn-ext-templating/v/index.jsp?vgnextoid=d3ecab37a9602210VgnVCM100000b912010aRCRD&amp;vgnextchannel=9f68fa5c266d1210VgnVCM100000b912010aRCRD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TRAINING FOR</dc:title>
  <dc:creator>rhilighthomas</dc:creator>
  <cp:lastModifiedBy>RHiligh-Thomas</cp:lastModifiedBy>
  <cp:revision>7</cp:revision>
  <cp:lastPrinted>2019-06-04T22:09:00Z</cp:lastPrinted>
  <dcterms:created xsi:type="dcterms:W3CDTF">2019-06-03T18:08:00Z</dcterms:created>
  <dcterms:modified xsi:type="dcterms:W3CDTF">2019-06-04T22:14:00Z</dcterms:modified>
</cp:coreProperties>
</file>