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501C0" w14:textId="4C6E7005" w:rsidR="00981AA1" w:rsidRPr="00391F77" w:rsidRDefault="00391F77">
      <w:pPr>
        <w:rPr>
          <w:rFonts w:cstheme="minorHAnsi"/>
          <w:sz w:val="24"/>
          <w:szCs w:val="24"/>
        </w:rPr>
      </w:pPr>
      <w:r w:rsidRPr="00391F77">
        <w:rPr>
          <w:rFonts w:cstheme="minorHAnsi"/>
          <w:sz w:val="24"/>
          <w:szCs w:val="24"/>
        </w:rPr>
        <w:fldChar w:fldCharType="begin"/>
      </w:r>
      <w:r w:rsidRPr="00391F77">
        <w:rPr>
          <w:rFonts w:cstheme="minorHAnsi"/>
          <w:sz w:val="24"/>
          <w:szCs w:val="24"/>
        </w:rPr>
        <w:instrText xml:space="preserve"> HYPERLINK "https://code.dccouncil.us/dc/council/code/sections/2-536.html" </w:instrText>
      </w:r>
      <w:r w:rsidRPr="00391F77">
        <w:rPr>
          <w:rFonts w:cstheme="minorHAnsi"/>
          <w:sz w:val="24"/>
          <w:szCs w:val="24"/>
        </w:rPr>
        <w:fldChar w:fldCharType="separate"/>
      </w:r>
      <w:r w:rsidRPr="00391F77">
        <w:rPr>
          <w:rStyle w:val="Hyperlink"/>
          <w:rFonts w:cstheme="minorHAnsi"/>
          <w:sz w:val="24"/>
          <w:szCs w:val="24"/>
        </w:rPr>
        <w:t>https://code.dccouncil.us/dc/council/code/sections/2-536.html</w:t>
      </w:r>
      <w:r w:rsidRPr="00391F77">
        <w:rPr>
          <w:rFonts w:cstheme="minorHAnsi"/>
          <w:sz w:val="24"/>
          <w:szCs w:val="24"/>
        </w:rPr>
        <w:fldChar w:fldCharType="end"/>
      </w:r>
    </w:p>
    <w:p w14:paraId="43CC5CFD" w14:textId="12182257" w:rsidR="00391F77" w:rsidRPr="00391F77" w:rsidRDefault="00391F77">
      <w:pPr>
        <w:rPr>
          <w:rFonts w:cstheme="minorHAnsi"/>
          <w:sz w:val="24"/>
          <w:szCs w:val="24"/>
        </w:rPr>
      </w:pPr>
    </w:p>
    <w:p w14:paraId="7564F255" w14:textId="77777777" w:rsidR="00391F77" w:rsidRPr="00391F77" w:rsidRDefault="00391F77" w:rsidP="00391F77">
      <w:pPr>
        <w:pBdr>
          <w:bottom w:val="single" w:sz="6" w:space="8" w:color="DDDDDD"/>
        </w:pBdr>
        <w:spacing w:before="300" w:after="300" w:line="300" w:lineRule="atLeast"/>
        <w:textAlignment w:val="baseline"/>
        <w:outlineLvl w:val="0"/>
        <w:rPr>
          <w:rFonts w:eastAsia="Times New Roman" w:cstheme="minorHAnsi"/>
          <w:b/>
          <w:bCs/>
          <w:color w:val="555555"/>
          <w:kern w:val="36"/>
          <w:sz w:val="24"/>
          <w:szCs w:val="24"/>
        </w:rPr>
      </w:pPr>
      <w:r w:rsidRPr="00391F77">
        <w:rPr>
          <w:rFonts w:eastAsia="Times New Roman" w:cstheme="minorHAnsi"/>
          <w:b/>
          <w:bCs/>
          <w:color w:val="555555"/>
          <w:kern w:val="36"/>
          <w:sz w:val="24"/>
          <w:szCs w:val="24"/>
        </w:rPr>
        <w:t>§ 2–536. Information which must be made public.</w:t>
      </w:r>
    </w:p>
    <w:p w14:paraId="3CB1AAE7" w14:textId="77777777" w:rsidR="00391F77" w:rsidRPr="00391F77" w:rsidRDefault="00391F77" w:rsidP="00391F77">
      <w:pPr>
        <w:spacing w:after="0" w:line="240" w:lineRule="auto"/>
        <w:ind w:firstLine="300"/>
        <w:textAlignment w:val="baseline"/>
        <w:rPr>
          <w:rFonts w:eastAsia="Times New Roman" w:cstheme="minorHAnsi"/>
          <w:sz w:val="24"/>
          <w:szCs w:val="24"/>
        </w:rPr>
      </w:pPr>
      <w:r w:rsidRPr="00391F77">
        <w:rPr>
          <w:rFonts w:eastAsia="Times New Roman" w:cstheme="minorHAnsi"/>
          <w:b/>
          <w:bCs/>
          <w:color w:val="333333"/>
          <w:sz w:val="24"/>
          <w:szCs w:val="24"/>
          <w:bdr w:val="none" w:sz="0" w:space="0" w:color="auto" w:frame="1"/>
        </w:rPr>
        <w:t>(a)</w:t>
      </w:r>
      <w:r w:rsidRPr="00391F77">
        <w:rPr>
          <w:rFonts w:eastAsia="Times New Roman" w:cstheme="minorHAnsi"/>
          <w:sz w:val="24"/>
          <w:szCs w:val="24"/>
        </w:rPr>
        <w:t> </w:t>
      </w:r>
      <w:r w:rsidRPr="00391F77">
        <w:rPr>
          <w:rFonts w:eastAsia="Times New Roman" w:cstheme="minorHAnsi"/>
          <w:sz w:val="24"/>
          <w:szCs w:val="24"/>
          <w:highlight w:val="yellow"/>
        </w:rPr>
        <w:t>Without limiting the meaning of other sections of this subchapter, the following categories of information are specifically made public information, and do not require a written request for information:</w:t>
      </w:r>
    </w:p>
    <w:p w14:paraId="06F63BDC" w14:textId="77777777" w:rsidR="00391F77" w:rsidRPr="00391F77" w:rsidRDefault="00391F77" w:rsidP="00391F77">
      <w:pPr>
        <w:spacing w:after="0" w:line="240" w:lineRule="auto"/>
        <w:ind w:firstLine="300"/>
        <w:textAlignment w:val="baseline"/>
        <w:rPr>
          <w:rFonts w:eastAsia="Times New Roman" w:cstheme="minorHAnsi"/>
          <w:sz w:val="24"/>
          <w:szCs w:val="24"/>
        </w:rPr>
      </w:pPr>
      <w:r w:rsidRPr="00391F77">
        <w:rPr>
          <w:rFonts w:eastAsia="Times New Roman" w:cstheme="minorHAnsi"/>
          <w:b/>
          <w:bCs/>
          <w:color w:val="333333"/>
          <w:sz w:val="24"/>
          <w:szCs w:val="24"/>
          <w:bdr w:val="none" w:sz="0" w:space="0" w:color="auto" w:frame="1"/>
        </w:rPr>
        <w:t>(1)</w:t>
      </w:r>
      <w:r w:rsidRPr="00391F77">
        <w:rPr>
          <w:rFonts w:eastAsia="Times New Roman" w:cstheme="minorHAnsi"/>
          <w:sz w:val="24"/>
          <w:szCs w:val="24"/>
        </w:rPr>
        <w:t xml:space="preserve"> The names, salaries, title, and dates of employment of all employees and officers of a public </w:t>
      </w:r>
      <w:proofErr w:type="gramStart"/>
      <w:r w:rsidRPr="00391F77">
        <w:rPr>
          <w:rFonts w:eastAsia="Times New Roman" w:cstheme="minorHAnsi"/>
          <w:sz w:val="24"/>
          <w:szCs w:val="24"/>
        </w:rPr>
        <w:t>body;</w:t>
      </w:r>
      <w:proofErr w:type="gramEnd"/>
    </w:p>
    <w:p w14:paraId="2F631587" w14:textId="77777777" w:rsidR="00391F77" w:rsidRPr="00391F77" w:rsidRDefault="00391F77" w:rsidP="00391F77">
      <w:pPr>
        <w:spacing w:after="0" w:line="240" w:lineRule="auto"/>
        <w:ind w:firstLine="300"/>
        <w:textAlignment w:val="baseline"/>
        <w:rPr>
          <w:rFonts w:eastAsia="Times New Roman" w:cstheme="minorHAnsi"/>
          <w:sz w:val="24"/>
          <w:szCs w:val="24"/>
        </w:rPr>
      </w:pPr>
      <w:r w:rsidRPr="00391F77">
        <w:rPr>
          <w:rFonts w:eastAsia="Times New Roman" w:cstheme="minorHAnsi"/>
          <w:b/>
          <w:bCs/>
          <w:sz w:val="24"/>
          <w:szCs w:val="24"/>
          <w:highlight w:val="yellow"/>
          <w:bdr w:val="none" w:sz="0" w:space="0" w:color="auto" w:frame="1"/>
        </w:rPr>
        <w:t>(2)</w:t>
      </w:r>
      <w:r w:rsidRPr="00391F77">
        <w:rPr>
          <w:rFonts w:eastAsia="Times New Roman" w:cstheme="minorHAnsi"/>
          <w:sz w:val="24"/>
          <w:szCs w:val="24"/>
          <w:highlight w:val="yellow"/>
        </w:rPr>
        <w:t xml:space="preserve"> Administrative staff manuals and instructions to staff that affect a member of the </w:t>
      </w:r>
      <w:proofErr w:type="gramStart"/>
      <w:r w:rsidRPr="00391F77">
        <w:rPr>
          <w:rFonts w:eastAsia="Times New Roman" w:cstheme="minorHAnsi"/>
          <w:sz w:val="24"/>
          <w:szCs w:val="24"/>
          <w:highlight w:val="yellow"/>
        </w:rPr>
        <w:t>public;</w:t>
      </w:r>
      <w:proofErr w:type="gramEnd"/>
    </w:p>
    <w:p w14:paraId="073DB523" w14:textId="77777777" w:rsidR="00391F77" w:rsidRPr="00391F77" w:rsidRDefault="00391F77" w:rsidP="00391F77">
      <w:pPr>
        <w:spacing w:after="0" w:line="240" w:lineRule="auto"/>
        <w:ind w:firstLine="300"/>
        <w:textAlignment w:val="baseline"/>
        <w:rPr>
          <w:rFonts w:eastAsia="Times New Roman" w:cstheme="minorHAnsi"/>
          <w:sz w:val="24"/>
          <w:szCs w:val="24"/>
        </w:rPr>
      </w:pPr>
      <w:r w:rsidRPr="00391F77">
        <w:rPr>
          <w:rFonts w:eastAsia="Times New Roman" w:cstheme="minorHAnsi"/>
          <w:b/>
          <w:bCs/>
          <w:color w:val="333333"/>
          <w:sz w:val="24"/>
          <w:szCs w:val="24"/>
          <w:bdr w:val="none" w:sz="0" w:space="0" w:color="auto" w:frame="1"/>
        </w:rPr>
        <w:t>(3)</w:t>
      </w:r>
      <w:r w:rsidRPr="00391F77">
        <w:rPr>
          <w:rFonts w:eastAsia="Times New Roman" w:cstheme="minorHAnsi"/>
          <w:sz w:val="24"/>
          <w:szCs w:val="24"/>
        </w:rPr>
        <w:t xml:space="preserve"> Final opinions, including concurring and dissenting opinions, as well as orders, made in the adjudication of </w:t>
      </w:r>
      <w:proofErr w:type="gramStart"/>
      <w:r w:rsidRPr="00391F77">
        <w:rPr>
          <w:rFonts w:eastAsia="Times New Roman" w:cstheme="minorHAnsi"/>
          <w:sz w:val="24"/>
          <w:szCs w:val="24"/>
        </w:rPr>
        <w:t>cases;</w:t>
      </w:r>
      <w:proofErr w:type="gramEnd"/>
    </w:p>
    <w:p w14:paraId="655AB211" w14:textId="77777777" w:rsidR="00391F77" w:rsidRPr="00391F77" w:rsidRDefault="00391F77" w:rsidP="00391F77">
      <w:pPr>
        <w:spacing w:after="0" w:line="240" w:lineRule="auto"/>
        <w:ind w:firstLine="300"/>
        <w:textAlignment w:val="baseline"/>
        <w:rPr>
          <w:rFonts w:eastAsia="Times New Roman" w:cstheme="minorHAnsi"/>
          <w:sz w:val="24"/>
          <w:szCs w:val="24"/>
        </w:rPr>
      </w:pPr>
      <w:r w:rsidRPr="00391F77">
        <w:rPr>
          <w:rFonts w:eastAsia="Times New Roman" w:cstheme="minorHAnsi"/>
          <w:b/>
          <w:bCs/>
          <w:color w:val="333333"/>
          <w:sz w:val="24"/>
          <w:szCs w:val="24"/>
          <w:highlight w:val="yellow"/>
          <w:bdr w:val="none" w:sz="0" w:space="0" w:color="auto" w:frame="1"/>
        </w:rPr>
        <w:t>(4)</w:t>
      </w:r>
      <w:r w:rsidRPr="00391F77">
        <w:rPr>
          <w:rFonts w:eastAsia="Times New Roman" w:cstheme="minorHAnsi"/>
          <w:sz w:val="24"/>
          <w:szCs w:val="24"/>
          <w:highlight w:val="yellow"/>
        </w:rPr>
        <w:t xml:space="preserve"> Those statements of policy and interpretations of policy, acts, and rules which have been adopted by a public </w:t>
      </w:r>
      <w:proofErr w:type="gramStart"/>
      <w:r w:rsidRPr="00391F77">
        <w:rPr>
          <w:rFonts w:eastAsia="Times New Roman" w:cstheme="minorHAnsi"/>
          <w:sz w:val="24"/>
          <w:szCs w:val="24"/>
          <w:highlight w:val="yellow"/>
        </w:rPr>
        <w:t>body;</w:t>
      </w:r>
      <w:proofErr w:type="gramEnd"/>
    </w:p>
    <w:p w14:paraId="636E1269" w14:textId="77777777" w:rsidR="00391F77" w:rsidRPr="00391F77" w:rsidRDefault="00391F77" w:rsidP="00391F77">
      <w:pPr>
        <w:spacing w:after="0" w:line="240" w:lineRule="auto"/>
        <w:ind w:firstLine="300"/>
        <w:textAlignment w:val="baseline"/>
        <w:rPr>
          <w:rFonts w:eastAsia="Times New Roman" w:cstheme="minorHAnsi"/>
          <w:sz w:val="24"/>
          <w:szCs w:val="24"/>
        </w:rPr>
      </w:pPr>
      <w:r w:rsidRPr="00391F77">
        <w:rPr>
          <w:rFonts w:eastAsia="Times New Roman" w:cstheme="minorHAnsi"/>
          <w:b/>
          <w:bCs/>
          <w:color w:val="333333"/>
          <w:sz w:val="24"/>
          <w:szCs w:val="24"/>
          <w:bdr w:val="none" w:sz="0" w:space="0" w:color="auto" w:frame="1"/>
        </w:rPr>
        <w:t>(5)</w:t>
      </w:r>
      <w:r w:rsidRPr="00391F77">
        <w:rPr>
          <w:rFonts w:eastAsia="Times New Roman" w:cstheme="minorHAnsi"/>
          <w:sz w:val="24"/>
          <w:szCs w:val="24"/>
        </w:rPr>
        <w:t> Correspondence and materials referred to therein, by and with a public body, relating to any regulatory, supervisory, or enforcement responsibilities of the public body, whereby the public body determines, or states an opinion upon, or is asked to determine or state an opinion upon, the rights of the District, the public, or any private party;</w:t>
      </w:r>
    </w:p>
    <w:p w14:paraId="10C536FD" w14:textId="77777777" w:rsidR="00391F77" w:rsidRPr="00391F77" w:rsidRDefault="00391F77" w:rsidP="00391F77">
      <w:pPr>
        <w:spacing w:after="0" w:line="240" w:lineRule="auto"/>
        <w:ind w:firstLine="300"/>
        <w:textAlignment w:val="baseline"/>
        <w:rPr>
          <w:rFonts w:eastAsia="Times New Roman" w:cstheme="minorHAnsi"/>
          <w:sz w:val="24"/>
          <w:szCs w:val="24"/>
        </w:rPr>
      </w:pPr>
      <w:r w:rsidRPr="00391F77">
        <w:rPr>
          <w:rFonts w:eastAsia="Times New Roman" w:cstheme="minorHAnsi"/>
          <w:b/>
          <w:bCs/>
          <w:color w:val="333333"/>
          <w:sz w:val="24"/>
          <w:szCs w:val="24"/>
          <w:bdr w:val="none" w:sz="0" w:space="0" w:color="auto" w:frame="1"/>
        </w:rPr>
        <w:t>(6)</w:t>
      </w:r>
      <w:r w:rsidRPr="00391F77">
        <w:rPr>
          <w:rFonts w:eastAsia="Times New Roman" w:cstheme="minorHAnsi"/>
          <w:sz w:val="24"/>
          <w:szCs w:val="24"/>
        </w:rPr>
        <w:t xml:space="preserve"> Information in or taken from any account, voucher, or contract dealing with the receipt or expenditure of public or other funds by public </w:t>
      </w:r>
      <w:proofErr w:type="gramStart"/>
      <w:r w:rsidRPr="00391F77">
        <w:rPr>
          <w:rFonts w:eastAsia="Times New Roman" w:cstheme="minorHAnsi"/>
          <w:sz w:val="24"/>
          <w:szCs w:val="24"/>
        </w:rPr>
        <w:t>bodies;</w:t>
      </w:r>
      <w:proofErr w:type="gramEnd"/>
    </w:p>
    <w:p w14:paraId="78DB5083" w14:textId="77777777" w:rsidR="00391F77" w:rsidRPr="00391F77" w:rsidRDefault="00391F77" w:rsidP="00391F77">
      <w:pPr>
        <w:spacing w:after="0" w:line="240" w:lineRule="auto"/>
        <w:ind w:firstLine="300"/>
        <w:textAlignment w:val="baseline"/>
        <w:rPr>
          <w:rFonts w:eastAsia="Times New Roman" w:cstheme="minorHAnsi"/>
          <w:sz w:val="24"/>
          <w:szCs w:val="24"/>
        </w:rPr>
      </w:pPr>
      <w:r w:rsidRPr="00391F77">
        <w:rPr>
          <w:rFonts w:eastAsia="Times New Roman" w:cstheme="minorHAnsi"/>
          <w:b/>
          <w:bCs/>
          <w:color w:val="333333"/>
          <w:sz w:val="24"/>
          <w:szCs w:val="24"/>
          <w:bdr w:val="none" w:sz="0" w:space="0" w:color="auto" w:frame="1"/>
        </w:rPr>
        <w:t>(6A)</w:t>
      </w:r>
      <w:r w:rsidRPr="00391F77">
        <w:rPr>
          <w:rFonts w:eastAsia="Times New Roman" w:cstheme="minorHAnsi"/>
          <w:sz w:val="24"/>
          <w:szCs w:val="24"/>
        </w:rPr>
        <w:t> Budget requests, submissions, and reports available electronically that agencies, boards, and commissions transmit to the Office of the Budget and Planning during the budget development process, as well as reports on budget implementation and execution prepared by the Office of the Chief Financial Officer, including baseline budget submissions and appeals, financial status reports, and strategic plans and performance-based budget submissions;</w:t>
      </w:r>
    </w:p>
    <w:p w14:paraId="10ACB22C" w14:textId="77777777" w:rsidR="00391F77" w:rsidRPr="00391F77" w:rsidRDefault="00391F77" w:rsidP="00391F77">
      <w:pPr>
        <w:spacing w:after="0" w:line="240" w:lineRule="auto"/>
        <w:ind w:firstLine="300"/>
        <w:textAlignment w:val="baseline"/>
        <w:rPr>
          <w:rFonts w:eastAsia="Times New Roman" w:cstheme="minorHAnsi"/>
          <w:sz w:val="24"/>
          <w:szCs w:val="24"/>
        </w:rPr>
      </w:pPr>
      <w:r w:rsidRPr="00391F77">
        <w:rPr>
          <w:rFonts w:eastAsia="Times New Roman" w:cstheme="minorHAnsi"/>
          <w:b/>
          <w:bCs/>
          <w:color w:val="333333"/>
          <w:sz w:val="24"/>
          <w:szCs w:val="24"/>
          <w:bdr w:val="none" w:sz="0" w:space="0" w:color="auto" w:frame="1"/>
        </w:rPr>
        <w:t>(7)</w:t>
      </w:r>
      <w:r w:rsidRPr="00391F77">
        <w:rPr>
          <w:rFonts w:eastAsia="Times New Roman" w:cstheme="minorHAnsi"/>
          <w:sz w:val="24"/>
          <w:szCs w:val="24"/>
        </w:rPr>
        <w:t xml:space="preserve"> The minutes of all proceedings of all public </w:t>
      </w:r>
      <w:proofErr w:type="gramStart"/>
      <w:r w:rsidRPr="00391F77">
        <w:rPr>
          <w:rFonts w:eastAsia="Times New Roman" w:cstheme="minorHAnsi"/>
          <w:sz w:val="24"/>
          <w:szCs w:val="24"/>
        </w:rPr>
        <w:t>bodies;</w:t>
      </w:r>
      <w:proofErr w:type="gramEnd"/>
    </w:p>
    <w:p w14:paraId="4C3BE9C5" w14:textId="77777777" w:rsidR="00391F77" w:rsidRPr="00391F77" w:rsidRDefault="00391F77" w:rsidP="00391F77">
      <w:pPr>
        <w:spacing w:after="0" w:line="240" w:lineRule="auto"/>
        <w:ind w:firstLine="300"/>
        <w:textAlignment w:val="baseline"/>
        <w:rPr>
          <w:rFonts w:eastAsia="Times New Roman" w:cstheme="minorHAnsi"/>
          <w:sz w:val="24"/>
          <w:szCs w:val="24"/>
        </w:rPr>
      </w:pPr>
      <w:r w:rsidRPr="00391F77">
        <w:rPr>
          <w:rFonts w:eastAsia="Times New Roman" w:cstheme="minorHAnsi"/>
          <w:b/>
          <w:bCs/>
          <w:color w:val="333333"/>
          <w:sz w:val="24"/>
          <w:szCs w:val="24"/>
          <w:bdr w:val="none" w:sz="0" w:space="0" w:color="auto" w:frame="1"/>
        </w:rPr>
        <w:t>(8)</w:t>
      </w:r>
      <w:r w:rsidRPr="00391F77">
        <w:rPr>
          <w:rFonts w:eastAsia="Times New Roman" w:cstheme="minorHAnsi"/>
          <w:sz w:val="24"/>
          <w:szCs w:val="24"/>
        </w:rPr>
        <w:t xml:space="preserve"> All names and mailing addresses of absentee real property owners and their </w:t>
      </w:r>
      <w:proofErr w:type="gramStart"/>
      <w:r w:rsidRPr="00391F77">
        <w:rPr>
          <w:rFonts w:eastAsia="Times New Roman" w:cstheme="minorHAnsi"/>
          <w:sz w:val="24"/>
          <w:szCs w:val="24"/>
        </w:rPr>
        <w:t>agents;</w:t>
      </w:r>
      <w:proofErr w:type="gramEnd"/>
    </w:p>
    <w:p w14:paraId="318415B7" w14:textId="77777777" w:rsidR="00391F77" w:rsidRPr="00391F77" w:rsidRDefault="00391F77" w:rsidP="00391F77">
      <w:pPr>
        <w:spacing w:after="0" w:line="240" w:lineRule="auto"/>
        <w:ind w:firstLine="300"/>
        <w:textAlignment w:val="baseline"/>
        <w:rPr>
          <w:rFonts w:eastAsia="Times New Roman" w:cstheme="minorHAnsi"/>
          <w:sz w:val="24"/>
          <w:szCs w:val="24"/>
        </w:rPr>
      </w:pPr>
      <w:r w:rsidRPr="00391F77">
        <w:rPr>
          <w:rFonts w:eastAsia="Times New Roman" w:cstheme="minorHAnsi"/>
          <w:b/>
          <w:bCs/>
          <w:color w:val="333333"/>
          <w:sz w:val="24"/>
          <w:szCs w:val="24"/>
          <w:bdr w:val="none" w:sz="0" w:space="0" w:color="auto" w:frame="1"/>
        </w:rPr>
        <w:t>(8A)</w:t>
      </w:r>
      <w:r w:rsidRPr="00391F77">
        <w:rPr>
          <w:rFonts w:eastAsia="Times New Roman" w:cstheme="minorHAnsi"/>
          <w:sz w:val="24"/>
          <w:szCs w:val="24"/>
        </w:rPr>
        <w:t xml:space="preserve"> All pending applications for building permits and authorized building permits, including the permit </w:t>
      </w:r>
      <w:proofErr w:type="gramStart"/>
      <w:r w:rsidRPr="00391F77">
        <w:rPr>
          <w:rFonts w:eastAsia="Times New Roman" w:cstheme="minorHAnsi"/>
          <w:sz w:val="24"/>
          <w:szCs w:val="24"/>
        </w:rPr>
        <w:t>file;</w:t>
      </w:r>
      <w:proofErr w:type="gramEnd"/>
    </w:p>
    <w:p w14:paraId="3341DD94" w14:textId="77777777" w:rsidR="00391F77" w:rsidRPr="00391F77" w:rsidRDefault="00391F77" w:rsidP="00391F77">
      <w:pPr>
        <w:spacing w:after="0" w:line="240" w:lineRule="auto"/>
        <w:ind w:firstLine="300"/>
        <w:textAlignment w:val="baseline"/>
        <w:rPr>
          <w:rFonts w:eastAsia="Times New Roman" w:cstheme="minorHAnsi"/>
          <w:sz w:val="24"/>
          <w:szCs w:val="24"/>
        </w:rPr>
      </w:pPr>
      <w:r w:rsidRPr="00391F77">
        <w:rPr>
          <w:rFonts w:eastAsia="Times New Roman" w:cstheme="minorHAnsi"/>
          <w:b/>
          <w:bCs/>
          <w:color w:val="333333"/>
          <w:sz w:val="24"/>
          <w:szCs w:val="24"/>
          <w:bdr w:val="none" w:sz="0" w:space="0" w:color="auto" w:frame="1"/>
        </w:rPr>
        <w:t>(9)</w:t>
      </w:r>
      <w:r w:rsidRPr="00391F77">
        <w:rPr>
          <w:rFonts w:eastAsia="Times New Roman" w:cstheme="minorHAnsi"/>
          <w:sz w:val="24"/>
          <w:szCs w:val="24"/>
        </w:rPr>
        <w:t> Copies of all records, regardless of form or format, which have been released to any person under this chapter and which, because of the nature of their subject matter, the public body determines have become or are likely to become the subject of subsequent requests for substantially the same records; and</w:t>
      </w:r>
    </w:p>
    <w:p w14:paraId="00DE5747" w14:textId="77777777" w:rsidR="00391F77" w:rsidRPr="00391F77" w:rsidRDefault="00391F77" w:rsidP="00391F77">
      <w:pPr>
        <w:spacing w:after="0" w:line="240" w:lineRule="auto"/>
        <w:ind w:firstLine="300"/>
        <w:textAlignment w:val="baseline"/>
        <w:rPr>
          <w:rFonts w:eastAsia="Times New Roman" w:cstheme="minorHAnsi"/>
          <w:sz w:val="24"/>
          <w:szCs w:val="24"/>
        </w:rPr>
      </w:pPr>
      <w:r w:rsidRPr="00391F77">
        <w:rPr>
          <w:rFonts w:eastAsia="Times New Roman" w:cstheme="minorHAnsi"/>
          <w:b/>
          <w:bCs/>
          <w:color w:val="333333"/>
          <w:sz w:val="24"/>
          <w:szCs w:val="24"/>
          <w:bdr w:val="none" w:sz="0" w:space="0" w:color="auto" w:frame="1"/>
        </w:rPr>
        <w:t>(10)</w:t>
      </w:r>
      <w:r w:rsidRPr="00391F77">
        <w:rPr>
          <w:rFonts w:eastAsia="Times New Roman" w:cstheme="minorHAnsi"/>
          <w:sz w:val="24"/>
          <w:szCs w:val="24"/>
        </w:rPr>
        <w:t xml:space="preserve"> A general index of the records referred to in this subsection, unless the materials are promptly </w:t>
      </w:r>
      <w:proofErr w:type="gramStart"/>
      <w:r w:rsidRPr="00391F77">
        <w:rPr>
          <w:rFonts w:eastAsia="Times New Roman" w:cstheme="minorHAnsi"/>
          <w:sz w:val="24"/>
          <w:szCs w:val="24"/>
        </w:rPr>
        <w:t>published</w:t>
      </w:r>
      <w:proofErr w:type="gramEnd"/>
      <w:r w:rsidRPr="00391F77">
        <w:rPr>
          <w:rFonts w:eastAsia="Times New Roman" w:cstheme="minorHAnsi"/>
          <w:sz w:val="24"/>
          <w:szCs w:val="24"/>
        </w:rPr>
        <w:t xml:space="preserve"> and copies offered for sale.</w:t>
      </w:r>
    </w:p>
    <w:p w14:paraId="446E21B2" w14:textId="77777777" w:rsidR="00391F77" w:rsidRPr="00391F77" w:rsidRDefault="00391F77" w:rsidP="00391F77">
      <w:pPr>
        <w:spacing w:after="0" w:line="240" w:lineRule="auto"/>
        <w:ind w:firstLine="300"/>
        <w:textAlignment w:val="baseline"/>
        <w:rPr>
          <w:rFonts w:eastAsia="Times New Roman" w:cstheme="minorHAnsi"/>
          <w:sz w:val="24"/>
          <w:szCs w:val="24"/>
        </w:rPr>
      </w:pPr>
      <w:r w:rsidRPr="00391F77">
        <w:rPr>
          <w:rFonts w:eastAsia="Times New Roman" w:cstheme="minorHAnsi"/>
          <w:b/>
          <w:bCs/>
          <w:color w:val="333333"/>
          <w:sz w:val="24"/>
          <w:szCs w:val="24"/>
          <w:bdr w:val="none" w:sz="0" w:space="0" w:color="auto" w:frame="1"/>
        </w:rPr>
        <w:t>(b</w:t>
      </w:r>
      <w:r w:rsidRPr="00391F77">
        <w:rPr>
          <w:rFonts w:eastAsia="Times New Roman" w:cstheme="minorHAnsi"/>
          <w:b/>
          <w:bCs/>
          <w:color w:val="333333"/>
          <w:sz w:val="24"/>
          <w:szCs w:val="24"/>
          <w:highlight w:val="yellow"/>
          <w:bdr w:val="none" w:sz="0" w:space="0" w:color="auto" w:frame="1"/>
        </w:rPr>
        <w:t>)</w:t>
      </w:r>
      <w:r w:rsidRPr="00391F77">
        <w:rPr>
          <w:rFonts w:eastAsia="Times New Roman" w:cstheme="minorHAnsi"/>
          <w:sz w:val="24"/>
          <w:szCs w:val="24"/>
          <w:highlight w:val="yellow"/>
        </w:rPr>
        <w:t> For records created on or after November 1, 2001, each public body shall make records available on the Internet or, if a website has not been established by the public body, by other electronic means. This subsection is intended to apply only to information that must be made public pursuant to this subsection</w:t>
      </w:r>
      <w:r w:rsidRPr="00391F77">
        <w:rPr>
          <w:rFonts w:eastAsia="Times New Roman" w:cstheme="minorHAnsi"/>
          <w:sz w:val="24"/>
          <w:szCs w:val="24"/>
        </w:rPr>
        <w:t>.</w:t>
      </w:r>
    </w:p>
    <w:p w14:paraId="42EA2192" w14:textId="21513BC1" w:rsidR="00391F77" w:rsidRPr="00391F77" w:rsidRDefault="00391F77" w:rsidP="00391F77">
      <w:pPr>
        <w:spacing w:after="0" w:line="240" w:lineRule="auto"/>
        <w:ind w:firstLine="300"/>
        <w:textAlignment w:val="baseline"/>
        <w:rPr>
          <w:rFonts w:eastAsia="Times New Roman" w:cstheme="minorHAnsi"/>
          <w:sz w:val="24"/>
          <w:szCs w:val="24"/>
        </w:rPr>
      </w:pPr>
      <w:r w:rsidRPr="00391F77">
        <w:rPr>
          <w:rStyle w:val="level-num"/>
          <w:rFonts w:cstheme="minorHAnsi"/>
          <w:b/>
          <w:bCs/>
          <w:color w:val="333333"/>
          <w:sz w:val="24"/>
          <w:szCs w:val="24"/>
          <w:bdr w:val="none" w:sz="0" w:space="0" w:color="auto" w:frame="1"/>
        </w:rPr>
        <w:t>(c)</w:t>
      </w:r>
      <w:r w:rsidRPr="00391F77">
        <w:rPr>
          <w:rFonts w:cstheme="minorHAnsi"/>
          <w:color w:val="333333"/>
          <w:sz w:val="24"/>
          <w:szCs w:val="24"/>
        </w:rPr>
        <w:t> For the purposes of this section “absentee real property owners” means owners of real property located in the District that do not reside at the real property.</w:t>
      </w:r>
    </w:p>
    <w:sectPr w:rsidR="00391F77" w:rsidRPr="00391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A1"/>
    <w:rsid w:val="00391F77"/>
    <w:rsid w:val="007E01D0"/>
    <w:rsid w:val="0098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4B351"/>
  <w15:chartTrackingRefBased/>
  <w15:docId w15:val="{0B9E711A-1E05-4600-867F-8604646C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1F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F77"/>
    <w:rPr>
      <w:rFonts w:ascii="Segoe UI" w:hAnsi="Segoe UI" w:cs="Segoe UI"/>
      <w:sz w:val="18"/>
      <w:szCs w:val="18"/>
    </w:rPr>
  </w:style>
  <w:style w:type="character" w:styleId="Hyperlink">
    <w:name w:val="Hyperlink"/>
    <w:basedOn w:val="DefaultParagraphFont"/>
    <w:uiPriority w:val="99"/>
    <w:semiHidden/>
    <w:unhideWhenUsed/>
    <w:rsid w:val="00391F77"/>
    <w:rPr>
      <w:color w:val="0000FF"/>
      <w:u w:val="single"/>
    </w:rPr>
  </w:style>
  <w:style w:type="character" w:customStyle="1" w:styleId="Heading1Char">
    <w:name w:val="Heading 1 Char"/>
    <w:basedOn w:val="DefaultParagraphFont"/>
    <w:link w:val="Heading1"/>
    <w:uiPriority w:val="9"/>
    <w:rsid w:val="00391F77"/>
    <w:rPr>
      <w:rFonts w:ascii="Times New Roman" w:eastAsia="Times New Roman" w:hAnsi="Times New Roman" w:cs="Times New Roman"/>
      <w:b/>
      <w:bCs/>
      <w:kern w:val="36"/>
      <w:sz w:val="48"/>
      <w:szCs w:val="48"/>
    </w:rPr>
  </w:style>
  <w:style w:type="paragraph" w:customStyle="1" w:styleId="text-indent-1">
    <w:name w:val="text-indent-1"/>
    <w:basedOn w:val="Normal"/>
    <w:rsid w:val="00391F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vel-num">
    <w:name w:val="level-num"/>
    <w:basedOn w:val="DefaultParagraphFont"/>
    <w:rsid w:val="00391F77"/>
  </w:style>
  <w:style w:type="paragraph" w:customStyle="1" w:styleId="text-indent-2">
    <w:name w:val="text-indent-2"/>
    <w:basedOn w:val="Normal"/>
    <w:rsid w:val="00391F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63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1160</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Blaeuer</dc:creator>
  <cp:keywords/>
  <dc:description/>
  <cp:lastModifiedBy>Maria Blaeuer</cp:lastModifiedBy>
  <cp:revision>1</cp:revision>
  <dcterms:created xsi:type="dcterms:W3CDTF">2020-06-22T20:48:00Z</dcterms:created>
  <dcterms:modified xsi:type="dcterms:W3CDTF">2020-06-23T21:14:00Z</dcterms:modified>
</cp:coreProperties>
</file>